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方正小标宋简体" w:eastAsia="方正小标宋简体" w:cs="方正小标宋简体"/>
          <w:sz w:val="44"/>
          <w:szCs w:val="52"/>
        </w:rPr>
      </w:pPr>
    </w:p>
    <w:p>
      <w:pPr>
        <w:adjustRightInd w:val="0"/>
        <w:snapToGrid w:val="0"/>
        <w:spacing w:line="560" w:lineRule="exact"/>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湖北省知识产权保护中心备案主体、代理机构分级分类管理办法（</w:t>
      </w:r>
      <w:r>
        <w:rPr>
          <w:rFonts w:hint="eastAsia" w:ascii="方正小标宋简体" w:hAnsi="方正小标宋简体" w:eastAsia="方正小标宋简体" w:cs="方正小标宋简体"/>
          <w:sz w:val="44"/>
          <w:szCs w:val="52"/>
          <w:lang w:eastAsia="zh-CN"/>
        </w:rPr>
        <w:t>试行</w:t>
      </w:r>
      <w:r>
        <w:rPr>
          <w:rFonts w:hint="eastAsia" w:ascii="方正小标宋简体" w:hAnsi="方正小标宋简体" w:eastAsia="方正小标宋简体" w:cs="方正小标宋简体"/>
          <w:sz w:val="44"/>
          <w:szCs w:val="52"/>
        </w:rPr>
        <w:t>）</w:t>
      </w:r>
    </w:p>
    <w:p>
      <w:pPr>
        <w:adjustRightInd w:val="0"/>
        <w:snapToGrid w:val="0"/>
        <w:spacing w:line="560" w:lineRule="exact"/>
        <w:jc w:val="center"/>
        <w:rPr>
          <w:rFonts w:hint="eastAsia" w:ascii="黑体" w:hAnsi="黑体" w:eastAsia="黑体" w:cs="黑体"/>
          <w:sz w:val="32"/>
          <w:szCs w:val="40"/>
        </w:rPr>
      </w:pPr>
    </w:p>
    <w:p>
      <w:pPr>
        <w:adjustRightInd w:val="0"/>
        <w:snapToGrid w:val="0"/>
        <w:spacing w:line="560" w:lineRule="exact"/>
        <w:jc w:val="center"/>
        <w:rPr>
          <w:rFonts w:hint="eastAsia" w:ascii="黑体" w:hAnsi="黑体" w:eastAsia="黑体" w:cs="黑体"/>
          <w:sz w:val="32"/>
          <w:szCs w:val="40"/>
        </w:rPr>
      </w:pPr>
      <w:r>
        <w:rPr>
          <w:rFonts w:hint="eastAsia" w:ascii="黑体" w:hAnsi="黑体" w:eastAsia="黑体" w:cs="黑体"/>
          <w:sz w:val="32"/>
          <w:szCs w:val="40"/>
        </w:rPr>
        <w:t>第一章 总则</w:t>
      </w:r>
    </w:p>
    <w:p>
      <w:pPr>
        <w:adjustRightInd w:val="0"/>
        <w:snapToGrid w:val="0"/>
        <w:spacing w:line="560" w:lineRule="exact"/>
        <w:ind w:firstLine="642" w:firstLineChars="200"/>
        <w:rPr>
          <w:rFonts w:hint="eastAsia" w:ascii="仿宋_GB2312" w:hAnsi="宋体" w:eastAsia="仿宋_GB2312"/>
          <w:kern w:val="0"/>
          <w:sz w:val="32"/>
          <w:szCs w:val="32"/>
        </w:rPr>
      </w:pPr>
      <w:r>
        <w:rPr>
          <w:rFonts w:hint="eastAsia" w:ascii="仿宋_GB2312" w:hAnsi="宋体" w:eastAsia="仿宋_GB2312" w:cs="仿宋_GB2312"/>
          <w:b/>
          <w:bCs/>
          <w:kern w:val="0"/>
          <w:sz w:val="32"/>
          <w:szCs w:val="32"/>
        </w:rPr>
        <w:t>第一条</w:t>
      </w:r>
      <w:r>
        <w:rPr>
          <w:rFonts w:hint="eastAsia" w:ascii="仿宋_GB2312" w:hAnsi="仿宋" w:eastAsia="仿宋_GB2312" w:cs="仿宋_GB2312"/>
          <w:sz w:val="32"/>
          <w:szCs w:val="32"/>
        </w:rPr>
        <w:t xml:space="preserve"> 为加强备案主体、专利代理机构管理，提高专利申请预审质量，支持高质量专利申请进入国家知识产权局快速审查通道，根据《知识产权保护中心和快速维权中心管理办法》（国知办发保字〔2023〕49 号）、《专利申请预审业务管理办法（试行）》（国知办发办字〔2023〕25 号）、《规范申请专利行为的规定》(国家知识产权局令第 77 号)、《专利代理信用评价管理办法（试行）》（国知发运字〔2023〕10 号）、《国家知识产权局关于加强知识产权保护中心和快速维权中心运行管理高质量推进知识产权快速协同保护工作的意见》（国知发保字〔2025〕39 号）等有关文件要求，湖北省知识产权保护中心（简称省保护中心）结合专利预审工作实际，制定本办法。</w:t>
      </w:r>
    </w:p>
    <w:p>
      <w:pPr>
        <w:adjustRightInd w:val="0"/>
        <w:snapToGrid w:val="0"/>
        <w:spacing w:line="560" w:lineRule="exact"/>
        <w:ind w:firstLine="642" w:firstLineChars="200"/>
        <w:rPr>
          <w:rFonts w:hint="eastAsia" w:ascii="仿宋_GB2312" w:hAnsi="宋体" w:eastAsia="仿宋_GB2312" w:cs="仿宋_GB2312"/>
          <w:kern w:val="0"/>
          <w:sz w:val="32"/>
          <w:szCs w:val="32"/>
        </w:rPr>
      </w:pPr>
      <w:r>
        <w:rPr>
          <w:rFonts w:hint="eastAsia" w:ascii="仿宋_GB2312" w:hAnsi="宋体" w:eastAsia="仿宋_GB2312" w:cs="仿宋_GB2312"/>
          <w:b/>
          <w:bCs/>
          <w:kern w:val="0"/>
          <w:sz w:val="32"/>
          <w:szCs w:val="32"/>
        </w:rPr>
        <w:t xml:space="preserve">第二条 </w:t>
      </w:r>
      <w:r>
        <w:rPr>
          <w:rFonts w:hint="eastAsia" w:ascii="仿宋_GB2312" w:hAnsi="宋体" w:eastAsia="仿宋_GB2312" w:cs="仿宋_GB2312"/>
          <w:kern w:val="0"/>
          <w:sz w:val="32"/>
          <w:szCs w:val="32"/>
        </w:rPr>
        <w:t>本办法适用范围：</w:t>
      </w:r>
    </w:p>
    <w:p>
      <w:pPr>
        <w:adjustRightInd w:val="0"/>
        <w:snapToGrid w:val="0"/>
        <w:spacing w:line="560" w:lineRule="exact"/>
        <w:ind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（一）在省保护中心完成专利预审备案审核的企事业单位（以下简称 “备案主体”）；</w:t>
      </w:r>
    </w:p>
    <w:p>
      <w:pPr>
        <w:adjustRightInd w:val="0"/>
        <w:snapToGrid w:val="0"/>
        <w:spacing w:line="560" w:lineRule="exact"/>
        <w:ind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（二）在省保护中心</w:t>
      </w:r>
      <w:r>
        <w:rPr>
          <w:rFonts w:hint="eastAsia" w:ascii="仿宋_GB2312" w:hAnsi="宋体" w:eastAsia="仿宋_GB2312" w:cs="仿宋_GB2312"/>
          <w:kern w:val="0"/>
          <w:sz w:val="32"/>
          <w:szCs w:val="32"/>
          <w:lang w:eastAsia="zh-CN"/>
        </w:rPr>
        <w:t>提交</w:t>
      </w:r>
      <w:r>
        <w:rPr>
          <w:rFonts w:hint="eastAsia" w:ascii="仿宋_GB2312" w:hAnsi="宋体" w:eastAsia="仿宋_GB2312" w:cs="仿宋_GB2312"/>
          <w:kern w:val="0"/>
          <w:sz w:val="32"/>
          <w:szCs w:val="32"/>
        </w:rPr>
        <w:t>专利预审</w:t>
      </w:r>
      <w:r>
        <w:rPr>
          <w:rFonts w:hint="eastAsia" w:ascii="仿宋_GB2312" w:hAnsi="宋体" w:eastAsia="仿宋_GB2312" w:cs="仿宋_GB2312"/>
          <w:kern w:val="0"/>
          <w:sz w:val="32"/>
          <w:szCs w:val="32"/>
          <w:lang w:eastAsia="zh-CN"/>
        </w:rPr>
        <w:t>案件</w:t>
      </w:r>
      <w:r>
        <w:rPr>
          <w:rFonts w:hint="eastAsia" w:ascii="仿宋_GB2312" w:hAnsi="宋体" w:eastAsia="仿宋_GB2312" w:cs="仿宋_GB2312"/>
          <w:kern w:val="0"/>
          <w:sz w:val="32"/>
          <w:szCs w:val="32"/>
        </w:rPr>
        <w:t>的专利代理机构（以下简称 “代理机构”）。</w:t>
      </w:r>
    </w:p>
    <w:p>
      <w:pPr>
        <w:widowControl/>
        <w:adjustRightInd w:val="0"/>
        <w:snapToGrid w:val="0"/>
        <w:spacing w:line="560" w:lineRule="exact"/>
        <w:ind w:firstLine="642" w:firstLineChars="200"/>
        <w:rPr>
          <w:rFonts w:ascii="仿宋_GB2312" w:hAnsi="Helvetica" w:eastAsia="仿宋_GB2312" w:cs="Helvetica"/>
          <w:kern w:val="0"/>
          <w:sz w:val="32"/>
          <w:szCs w:val="32"/>
        </w:rPr>
      </w:pPr>
      <w:r>
        <w:rPr>
          <w:rFonts w:hint="eastAsia" w:ascii="仿宋_GB2312" w:hAnsi="Helvetica" w:eastAsia="仿宋_GB2312" w:cs="Helvetica"/>
          <w:b/>
          <w:bCs/>
          <w:kern w:val="0"/>
          <w:sz w:val="32"/>
        </w:rPr>
        <w:t xml:space="preserve">第三条 </w:t>
      </w:r>
      <w:r>
        <w:rPr>
          <w:rFonts w:hint="eastAsia" w:ascii="仿宋_GB2312" w:hAnsi="宋体" w:eastAsia="仿宋_GB2312" w:cs="仿宋_GB2312"/>
          <w:kern w:val="0"/>
          <w:sz w:val="32"/>
          <w:szCs w:val="32"/>
        </w:rPr>
        <w:t>分级分类管理是指省保护中心分别建立备案主体、代理机构两套独立评价指标体系，根据量化评价结果，对备案主体、代理机构分别分级分类实施差异化专利预审服务与管理</w:t>
      </w:r>
      <w:r>
        <w:rPr>
          <w:rFonts w:hint="eastAsia" w:ascii="仿宋_GB2312" w:hAnsi="Helvetica" w:eastAsia="仿宋_GB2312" w:cs="Helvetica"/>
          <w:kern w:val="0"/>
          <w:sz w:val="32"/>
          <w:szCs w:val="32"/>
        </w:rPr>
        <w:t>。</w:t>
      </w:r>
    </w:p>
    <w:p>
      <w:pPr>
        <w:widowControl/>
        <w:adjustRightInd w:val="0"/>
        <w:snapToGrid w:val="0"/>
        <w:spacing w:line="560" w:lineRule="exact"/>
        <w:ind w:firstLine="642" w:firstLineChars="200"/>
        <w:rPr>
          <w:rFonts w:hint="eastAsia" w:ascii="仿宋_GB2312" w:hAnsi="仿宋_GB2312" w:eastAsia="仿宋_GB2312" w:cs="仿宋_GB2312"/>
          <w:color w:val="000000"/>
          <w:kern w:val="0"/>
          <w:sz w:val="32"/>
          <w:szCs w:val="32"/>
          <w:highlight w:val="none"/>
        </w:rPr>
      </w:pPr>
      <w:r>
        <w:rPr>
          <w:rFonts w:hint="eastAsia" w:ascii="仿宋_GB2312" w:hAnsi="宋体" w:eastAsia="仿宋_GB2312" w:cs="仿宋_GB2312"/>
          <w:b/>
          <w:bCs/>
          <w:kern w:val="0"/>
          <w:sz w:val="32"/>
          <w:szCs w:val="32"/>
          <w:highlight w:val="none"/>
        </w:rPr>
        <w:t xml:space="preserve">第四条 </w:t>
      </w:r>
      <w:r>
        <w:rPr>
          <w:rFonts w:hint="eastAsia" w:ascii="仿宋_GB2312" w:hAnsi="仿宋" w:eastAsia="仿宋_GB2312" w:cs="仿宋_GB2312"/>
          <w:sz w:val="32"/>
          <w:szCs w:val="32"/>
          <w:highlight w:val="none"/>
        </w:rPr>
        <w:t>省保护中心将根据分级分类结果差异化匹配预审服务资源，资源向具备真实创新能力、专利转化运用需求的备案主体倾斜，向高质量、高价值专利申请倾斜，精准服务国家及湖北省战略科技力量，有力支撑湖北支点建设</w:t>
      </w:r>
      <w:r>
        <w:rPr>
          <w:rFonts w:hint="eastAsia" w:ascii="仿宋_GB2312" w:hAnsi="仿宋_GB2312" w:eastAsia="仿宋_GB2312" w:cs="仿宋_GB2312"/>
          <w:kern w:val="0"/>
          <w:sz w:val="32"/>
          <w:szCs w:val="32"/>
          <w:highlight w:val="none"/>
        </w:rPr>
        <w:t>。</w:t>
      </w:r>
    </w:p>
    <w:p>
      <w:pPr>
        <w:adjustRightInd w:val="0"/>
        <w:snapToGrid w:val="0"/>
        <w:spacing w:line="560" w:lineRule="exact"/>
        <w:jc w:val="center"/>
        <w:rPr>
          <w:rFonts w:hint="eastAsia" w:ascii="黑体" w:hAnsi="黑体" w:eastAsia="黑体" w:cs="黑体"/>
          <w:sz w:val="32"/>
          <w:szCs w:val="40"/>
        </w:rPr>
      </w:pPr>
      <w:r>
        <w:rPr>
          <w:rFonts w:hint="eastAsia" w:ascii="黑体" w:hAnsi="黑体" w:eastAsia="黑体" w:cs="黑体"/>
          <w:sz w:val="32"/>
          <w:szCs w:val="40"/>
        </w:rPr>
        <w:t>第二章 备案主体分级分类评价及管理</w:t>
      </w:r>
    </w:p>
    <w:p>
      <w:pPr>
        <w:widowControl/>
        <w:adjustRightInd w:val="0"/>
        <w:snapToGrid w:val="0"/>
        <w:spacing w:line="560" w:lineRule="exact"/>
        <w:ind w:firstLine="642" w:firstLineChars="200"/>
        <w:rPr>
          <w:rFonts w:hint="eastAsia" w:ascii="仿宋_GB2312" w:hAnsi="Helvetica" w:eastAsia="仿宋_GB2312" w:cs="Helvetica"/>
          <w:kern w:val="0"/>
          <w:sz w:val="32"/>
          <w:szCs w:val="32"/>
        </w:rPr>
      </w:pPr>
      <w:r>
        <w:rPr>
          <w:rFonts w:hint="eastAsia" w:ascii="仿宋_GB2312" w:hAnsi="宋体" w:eastAsia="仿宋_GB2312" w:cs="仿宋_GB2312"/>
          <w:b/>
          <w:bCs/>
          <w:kern w:val="0"/>
          <w:sz w:val="32"/>
          <w:szCs w:val="32"/>
        </w:rPr>
        <w:t xml:space="preserve">第五条 </w:t>
      </w:r>
      <w:r>
        <w:rPr>
          <w:rFonts w:hint="eastAsia" w:ascii="仿宋_GB2312" w:hAnsi="Helvetica" w:eastAsia="仿宋_GB2312" w:cs="Helvetica"/>
          <w:kern w:val="0"/>
          <w:sz w:val="32"/>
          <w:szCs w:val="32"/>
        </w:rPr>
        <w:t>备案主体分级评价设置基础指标、加分指标和扣分指标（附件</w:t>
      </w:r>
      <w:r>
        <w:rPr>
          <w:rFonts w:hint="eastAsia" w:ascii="仿宋_GB2312" w:hAnsi="Helvetica" w:eastAsia="仿宋_GB2312" w:cs="Helvetica"/>
          <w:kern w:val="0"/>
          <w:sz w:val="32"/>
          <w:szCs w:val="32"/>
          <w:lang w:eastAsia="zh-CN"/>
        </w:rPr>
        <w:t>一</w:t>
      </w:r>
      <w:r>
        <w:rPr>
          <w:rFonts w:hint="eastAsia" w:ascii="仿宋_GB2312" w:hAnsi="Helvetica" w:eastAsia="仿宋_GB2312" w:cs="Helvetica"/>
          <w:kern w:val="0"/>
          <w:sz w:val="32"/>
          <w:szCs w:val="32"/>
        </w:rPr>
        <w:t>）。依据预审质量、资质荣誉、</w:t>
      </w:r>
      <w:r>
        <w:rPr>
          <w:rFonts w:hint="eastAsia" w:ascii="仿宋_GB2312" w:hAnsi="Helvetica" w:eastAsia="仿宋_GB2312" w:cs="Helvetica"/>
          <w:kern w:val="0"/>
          <w:sz w:val="32"/>
          <w:szCs w:val="32"/>
          <w:lang w:eastAsia="zh-CN"/>
        </w:rPr>
        <w:t>成效反馈、</w:t>
      </w:r>
      <w:r>
        <w:rPr>
          <w:rFonts w:hint="eastAsia" w:ascii="仿宋_GB2312" w:hAnsi="Helvetica" w:eastAsia="仿宋_GB2312" w:cs="Helvetica"/>
          <w:kern w:val="0"/>
          <w:sz w:val="32"/>
          <w:szCs w:val="32"/>
        </w:rPr>
        <w:t>工作配合、信用情况等维度，</w:t>
      </w:r>
      <w:r>
        <w:rPr>
          <w:rFonts w:hint="eastAsia" w:ascii="仿宋_GB2312" w:hAnsi="仿宋" w:eastAsia="仿宋_GB2312" w:cs="仿宋_GB2312"/>
          <w:sz w:val="32"/>
          <w:szCs w:val="32"/>
        </w:rPr>
        <w:t>采用总分制：总分 = 基础指标得分 + 加分指标得分 − 扣分指标得分</w:t>
      </w:r>
      <w:r>
        <w:rPr>
          <w:rFonts w:hint="eastAsia" w:ascii="仿宋_GB2312" w:hAnsi="仿宋" w:eastAsia="仿宋_GB2312" w:cs="仿宋_GB2312"/>
          <w:sz w:val="32"/>
          <w:szCs w:val="32"/>
          <w:lang w:eastAsia="zh-CN"/>
        </w:rPr>
        <w:t>，</w:t>
      </w:r>
      <w:r>
        <w:rPr>
          <w:rFonts w:hint="eastAsia" w:ascii="仿宋_GB2312" w:hAnsi="Helvetica" w:eastAsia="仿宋_GB2312" w:cs="Helvetica"/>
          <w:kern w:val="0"/>
          <w:sz w:val="32"/>
          <w:szCs w:val="32"/>
        </w:rPr>
        <w:t>由高至低划分为 A、B、C 三个等级。</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分级规则：</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1、</w:t>
      </w:r>
      <w:r>
        <w:rPr>
          <w:rFonts w:hint="eastAsia" w:ascii="仿宋_GB2312" w:hAnsi="仿宋" w:eastAsia="仿宋_GB2312" w:cs="仿宋_GB2312"/>
          <w:sz w:val="32"/>
          <w:szCs w:val="32"/>
        </w:rPr>
        <w:t>A级：总分≥80 分；</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rPr>
        <w:t>B级：60 分≤总分＜80 分；</w:t>
      </w:r>
    </w:p>
    <w:p>
      <w:pPr>
        <w:widowControl/>
        <w:adjustRightInd w:val="0"/>
        <w:snapToGrid w:val="0"/>
        <w:spacing w:line="560" w:lineRule="exact"/>
        <w:ind w:firstLine="640" w:firstLineChars="200"/>
        <w:rPr>
          <w:rFonts w:hint="default" w:ascii="仿宋_GB2312" w:hAnsi="Helvetica" w:eastAsia="仿宋_GB2312" w:cs="Helvetica"/>
          <w:kern w:val="0"/>
          <w:sz w:val="32"/>
          <w:szCs w:val="32"/>
          <w:lang w:val="en-US" w:eastAsia="zh-CN"/>
        </w:rPr>
      </w:pPr>
      <w:r>
        <w:rPr>
          <w:rFonts w:hint="eastAsia" w:ascii="仿宋_GB2312" w:hAnsi="仿宋" w:eastAsia="仿宋_GB2312" w:cs="仿宋_GB2312"/>
          <w:sz w:val="32"/>
          <w:szCs w:val="32"/>
          <w:lang w:val="en-US" w:eastAsia="zh-CN"/>
        </w:rPr>
        <w:t>3、</w:t>
      </w:r>
      <w:r>
        <w:rPr>
          <w:rFonts w:hint="eastAsia" w:ascii="仿宋_GB2312" w:hAnsi="仿宋" w:eastAsia="仿宋_GB2312" w:cs="仿宋_GB2312"/>
          <w:sz w:val="32"/>
          <w:szCs w:val="32"/>
        </w:rPr>
        <w:t>C级：</w:t>
      </w:r>
      <w:r>
        <w:rPr>
          <w:rFonts w:hint="eastAsia" w:ascii="仿宋_GB2312" w:hAnsi="仿宋" w:eastAsia="仿宋_GB2312" w:cs="仿宋_GB2312"/>
          <w:sz w:val="32"/>
          <w:szCs w:val="32"/>
          <w:lang w:eastAsia="zh-CN"/>
        </w:rPr>
        <w:t>总分＜</w:t>
      </w:r>
      <w:r>
        <w:rPr>
          <w:rFonts w:hint="eastAsia" w:ascii="仿宋_GB2312" w:hAnsi="仿宋" w:eastAsia="仿宋_GB2312" w:cs="仿宋_GB2312"/>
          <w:sz w:val="32"/>
          <w:szCs w:val="32"/>
          <w:lang w:val="en-US" w:eastAsia="zh-CN"/>
        </w:rPr>
        <w:t>60分。</w:t>
      </w:r>
    </w:p>
    <w:p>
      <w:pPr>
        <w:widowControl/>
        <w:adjustRightInd w:val="0"/>
        <w:snapToGrid w:val="0"/>
        <w:spacing w:line="560" w:lineRule="exact"/>
        <w:ind w:firstLine="642" w:firstLineChars="200"/>
        <w:rPr>
          <w:rFonts w:hint="eastAsia" w:ascii="黑体" w:hAnsi="黑体" w:eastAsia="黑体" w:cs="黑体"/>
          <w:kern w:val="0"/>
          <w:sz w:val="32"/>
        </w:rPr>
      </w:pPr>
      <w:r>
        <w:rPr>
          <w:rFonts w:hint="eastAsia" w:ascii="仿宋_GB2312" w:hAnsi="Helvetica" w:eastAsia="仿宋_GB2312" w:cs="Helvetica"/>
          <w:b/>
          <w:bCs/>
          <w:kern w:val="0"/>
          <w:sz w:val="32"/>
          <w:szCs w:val="32"/>
        </w:rPr>
        <w:t xml:space="preserve">第六条 </w:t>
      </w:r>
      <w:r>
        <w:rPr>
          <w:rFonts w:hint="eastAsia" w:ascii="仿宋_GB2312" w:hAnsi="Helvetica" w:eastAsia="仿宋_GB2312" w:cs="Helvetica"/>
          <w:kern w:val="0"/>
          <w:sz w:val="32"/>
          <w:szCs w:val="32"/>
        </w:rPr>
        <w:t>对于A级备案主体：</w:t>
      </w:r>
    </w:p>
    <w:p>
      <w:pPr>
        <w:widowControl/>
        <w:adjustRightInd w:val="0"/>
        <w:snapToGrid w:val="0"/>
        <w:spacing w:line="560" w:lineRule="exact"/>
        <w:ind w:firstLine="640" w:firstLineChars="200"/>
        <w:rPr>
          <w:rFonts w:ascii="仿宋_GB2312" w:hAnsi="Helvetica" w:eastAsia="仿宋_GB2312" w:cs="Helvetica"/>
          <w:kern w:val="0"/>
          <w:sz w:val="32"/>
          <w:szCs w:val="32"/>
        </w:rPr>
      </w:pPr>
      <w:r>
        <w:rPr>
          <w:rFonts w:hint="eastAsia" w:ascii="仿宋_GB2312" w:hAnsi="Helvetica" w:eastAsia="仿宋_GB2312" w:cs="Helvetica"/>
          <w:kern w:val="0"/>
          <w:sz w:val="32"/>
          <w:szCs w:val="32"/>
        </w:rPr>
        <w:t>（一）纳入精准服务名单，在</w:t>
      </w:r>
      <w:r>
        <w:rPr>
          <w:rFonts w:hint="eastAsia" w:ascii="仿宋_GB2312" w:hAnsi="Helvetica" w:eastAsia="仿宋_GB2312" w:cs="Helvetica"/>
          <w:kern w:val="0"/>
          <w:sz w:val="32"/>
          <w:szCs w:val="32"/>
          <w:highlight w:val="none"/>
        </w:rPr>
        <w:t>专利预审</w:t>
      </w:r>
      <w:r>
        <w:rPr>
          <w:rFonts w:hint="eastAsia" w:ascii="仿宋_GB2312" w:hAnsi="Helvetica" w:eastAsia="仿宋_GB2312" w:cs="Helvetica"/>
          <w:kern w:val="0"/>
          <w:sz w:val="32"/>
          <w:szCs w:val="32"/>
        </w:rPr>
        <w:t>、维权援助、纠纷调解、专利导航等服务</w:t>
      </w:r>
      <w:r>
        <w:rPr>
          <w:rFonts w:ascii="仿宋_GB2312" w:hAnsi="Helvetica" w:eastAsia="仿宋_GB2312" w:cs="Helvetica"/>
          <w:kern w:val="0"/>
          <w:sz w:val="32"/>
          <w:szCs w:val="32"/>
          <w:highlight w:val="none"/>
        </w:rPr>
        <w:t>优先予以支持</w:t>
      </w:r>
      <w:r>
        <w:rPr>
          <w:rFonts w:hint="eastAsia" w:ascii="仿宋_GB2312" w:hAnsi="Helvetica" w:eastAsia="仿宋_GB2312" w:cs="Helvetica"/>
          <w:kern w:val="0"/>
          <w:sz w:val="32"/>
          <w:szCs w:val="32"/>
        </w:rPr>
        <w:t>；</w:t>
      </w:r>
    </w:p>
    <w:p>
      <w:pPr>
        <w:widowControl/>
        <w:adjustRightInd w:val="0"/>
        <w:snapToGrid w:val="0"/>
        <w:spacing w:line="560" w:lineRule="exact"/>
        <w:ind w:firstLine="640" w:firstLineChars="200"/>
        <w:rPr>
          <w:rFonts w:ascii="仿宋_GB2312" w:hAnsi="Helvetica" w:eastAsia="仿宋_GB2312" w:cs="Helvetica"/>
          <w:kern w:val="0"/>
          <w:sz w:val="32"/>
          <w:szCs w:val="32"/>
        </w:rPr>
      </w:pPr>
      <w:r>
        <w:rPr>
          <w:rFonts w:hint="eastAsia" w:ascii="仿宋_GB2312" w:hAnsi="Helvetica" w:eastAsia="仿宋_GB2312" w:cs="Helvetica"/>
          <w:kern w:val="0"/>
          <w:sz w:val="32"/>
          <w:szCs w:val="32"/>
        </w:rPr>
        <w:t>（二）</w:t>
      </w:r>
      <w:r>
        <w:rPr>
          <w:rFonts w:ascii="仿宋_GB2312" w:hAnsi="Helvetica" w:eastAsia="仿宋_GB2312" w:cs="Helvetica"/>
          <w:kern w:val="0"/>
          <w:sz w:val="32"/>
          <w:szCs w:val="32"/>
        </w:rPr>
        <w:t>在批量预审</w:t>
      </w:r>
      <w:r>
        <w:rPr>
          <w:rFonts w:hint="eastAsia" w:ascii="仿宋_GB2312" w:hAnsi="Helvetica" w:eastAsia="仿宋_GB2312" w:cs="Helvetica"/>
          <w:kern w:val="0"/>
          <w:sz w:val="32"/>
          <w:szCs w:val="32"/>
        </w:rPr>
        <w:t>、</w:t>
      </w:r>
      <w:r>
        <w:rPr>
          <w:rFonts w:hint="eastAsia" w:ascii="仿宋_GB2312" w:hAnsi="Helvetica" w:eastAsia="仿宋_GB2312" w:cs="Helvetica"/>
          <w:kern w:val="0"/>
          <w:sz w:val="32"/>
          <w:szCs w:val="32"/>
          <w:highlight w:val="none"/>
        </w:rPr>
        <w:t>优先预审</w:t>
      </w:r>
      <w:r>
        <w:rPr>
          <w:rFonts w:ascii="仿宋_GB2312" w:hAnsi="Helvetica" w:eastAsia="仿宋_GB2312" w:cs="Helvetica"/>
          <w:kern w:val="0"/>
          <w:sz w:val="32"/>
          <w:szCs w:val="32"/>
        </w:rPr>
        <w:t>等服务中予以</w:t>
      </w:r>
      <w:r>
        <w:rPr>
          <w:rFonts w:ascii="仿宋_GB2312" w:hAnsi="Helvetica" w:eastAsia="仿宋_GB2312" w:cs="Helvetica"/>
          <w:kern w:val="0"/>
          <w:sz w:val="32"/>
          <w:szCs w:val="32"/>
          <w:highlight w:val="none"/>
        </w:rPr>
        <w:t>优先支持</w:t>
      </w:r>
      <w:r>
        <w:rPr>
          <w:rFonts w:hint="eastAsia" w:ascii="仿宋_GB2312" w:hAnsi="Helvetica" w:eastAsia="仿宋_GB2312" w:cs="Helvetica"/>
          <w:kern w:val="0"/>
          <w:sz w:val="32"/>
          <w:szCs w:val="32"/>
        </w:rPr>
        <w:t>；</w:t>
      </w:r>
    </w:p>
    <w:p>
      <w:pPr>
        <w:widowControl/>
        <w:adjustRightInd w:val="0"/>
        <w:snapToGrid w:val="0"/>
        <w:spacing w:line="560" w:lineRule="exact"/>
        <w:ind w:firstLine="640" w:firstLineChars="200"/>
        <w:rPr>
          <w:rFonts w:ascii="仿宋_GB2312" w:hAnsi="Helvetica" w:eastAsia="仿宋_GB2312" w:cs="Helvetica"/>
          <w:kern w:val="0"/>
          <w:sz w:val="32"/>
          <w:szCs w:val="32"/>
        </w:rPr>
      </w:pPr>
      <w:r>
        <w:rPr>
          <w:rFonts w:hint="eastAsia" w:ascii="仿宋_GB2312" w:hAnsi="Helvetica" w:eastAsia="仿宋_GB2312" w:cs="Helvetica"/>
          <w:kern w:val="0"/>
          <w:sz w:val="32"/>
          <w:szCs w:val="32"/>
        </w:rPr>
        <w:t>（三）专利预审相关先进经验或典型案例，给予宣传推广。</w:t>
      </w:r>
    </w:p>
    <w:p>
      <w:pPr>
        <w:widowControl/>
        <w:adjustRightInd w:val="0"/>
        <w:snapToGrid w:val="0"/>
        <w:spacing w:line="560" w:lineRule="exact"/>
        <w:ind w:firstLine="642" w:firstLineChars="200"/>
        <w:rPr>
          <w:rFonts w:hint="eastAsia" w:ascii="仿宋_GB2312" w:hAnsi="宋体" w:eastAsia="仿宋_GB2312" w:cs="仿宋_GB2312"/>
          <w:kern w:val="0"/>
          <w:sz w:val="32"/>
          <w:szCs w:val="32"/>
        </w:rPr>
      </w:pPr>
      <w:r>
        <w:rPr>
          <w:rFonts w:hint="eastAsia" w:ascii="仿宋_GB2312" w:hAnsi="宋体" w:eastAsia="仿宋_GB2312" w:cs="仿宋_GB2312"/>
          <w:b/>
          <w:bCs/>
          <w:kern w:val="0"/>
          <w:sz w:val="32"/>
          <w:szCs w:val="32"/>
        </w:rPr>
        <w:t xml:space="preserve">第七条 </w:t>
      </w:r>
      <w:r>
        <w:rPr>
          <w:rFonts w:hint="eastAsia" w:ascii="仿宋_GB2312" w:hAnsi="宋体" w:eastAsia="仿宋_GB2312" w:cs="仿宋_GB2312"/>
          <w:kern w:val="0"/>
          <w:sz w:val="32"/>
          <w:szCs w:val="32"/>
        </w:rPr>
        <w:t>对于B级备案主体：</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（一）动态监测专利申请预审质量，引导其提交高质量、确有加快需求的专利申请预审请求；</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（二）视情形要求提交与技术方案密切相关的研发证明等材料；</w:t>
      </w:r>
    </w:p>
    <w:p>
      <w:pPr>
        <w:widowControl/>
        <w:adjustRightInd w:val="0"/>
        <w:snapToGrid w:val="0"/>
        <w:spacing w:line="560" w:lineRule="exact"/>
        <w:ind w:firstLine="642" w:firstLineChars="200"/>
        <w:rPr>
          <w:rFonts w:ascii="仿宋_GB2312" w:hAnsi="Helvetica" w:eastAsia="仿宋_GB2312" w:cs="Helvetica"/>
          <w:kern w:val="0"/>
          <w:sz w:val="32"/>
          <w:szCs w:val="32"/>
        </w:rPr>
      </w:pPr>
      <w:r>
        <w:rPr>
          <w:rFonts w:hint="eastAsia" w:ascii="仿宋_GB2312" w:hAnsi="宋体" w:eastAsia="仿宋_GB2312" w:cs="仿宋_GB2312"/>
          <w:b/>
          <w:bCs/>
          <w:kern w:val="0"/>
          <w:sz w:val="32"/>
          <w:szCs w:val="32"/>
        </w:rPr>
        <w:t xml:space="preserve">第八条 </w:t>
      </w:r>
      <w:r>
        <w:rPr>
          <w:rFonts w:hint="eastAsia" w:ascii="仿宋_GB2312" w:hAnsi="宋体" w:eastAsia="仿宋_GB2312" w:cs="仿宋_GB2312"/>
          <w:kern w:val="0"/>
          <w:sz w:val="32"/>
          <w:szCs w:val="32"/>
        </w:rPr>
        <w:t>对于C级备</w:t>
      </w:r>
      <w:r>
        <w:rPr>
          <w:rFonts w:hint="eastAsia" w:ascii="仿宋_GB2312" w:hAnsi="Helvetica" w:eastAsia="仿宋_GB2312" w:cs="Helvetica"/>
          <w:kern w:val="0"/>
          <w:sz w:val="32"/>
          <w:szCs w:val="32"/>
        </w:rPr>
        <w:t>案主体：</w:t>
      </w:r>
    </w:p>
    <w:p>
      <w:pPr>
        <w:widowControl/>
        <w:adjustRightInd w:val="0"/>
        <w:snapToGrid w:val="0"/>
        <w:spacing w:line="560" w:lineRule="exact"/>
        <w:ind w:firstLine="640" w:firstLineChars="200"/>
        <w:jc w:val="left"/>
        <w:rPr>
          <w:rFonts w:ascii="仿宋_GB2312" w:hAnsi="Helvetica" w:eastAsia="仿宋_GB2312" w:cs="Helvetica"/>
          <w:kern w:val="0"/>
          <w:sz w:val="32"/>
          <w:szCs w:val="32"/>
        </w:rPr>
      </w:pPr>
      <w:r>
        <w:rPr>
          <w:rFonts w:hint="eastAsia" w:ascii="仿宋_GB2312" w:hAnsi="Helvetica" w:eastAsia="仿宋_GB2312" w:cs="Helvetica"/>
          <w:kern w:val="0"/>
          <w:sz w:val="32"/>
          <w:szCs w:val="32"/>
        </w:rPr>
        <w:t>（一）加强专利预审行为管理，提高抽查检查频次，视情况进行约谈，督促其提高专利申请预审质量；</w:t>
      </w:r>
    </w:p>
    <w:p>
      <w:pPr>
        <w:widowControl/>
        <w:adjustRightInd w:val="0"/>
        <w:snapToGrid w:val="0"/>
        <w:spacing w:line="560" w:lineRule="exact"/>
        <w:ind w:firstLine="640" w:firstLineChars="200"/>
        <w:jc w:val="left"/>
        <w:rPr>
          <w:rFonts w:ascii="仿宋_GB2312" w:hAnsi="Helvetica" w:eastAsia="仿宋_GB2312" w:cs="Helvetica"/>
          <w:kern w:val="0"/>
          <w:sz w:val="32"/>
          <w:szCs w:val="32"/>
        </w:rPr>
      </w:pPr>
      <w:r>
        <w:rPr>
          <w:rFonts w:hint="eastAsia" w:ascii="仿宋_GB2312" w:hAnsi="Helvetica" w:eastAsia="仿宋_GB2312" w:cs="Helvetica"/>
          <w:kern w:val="0"/>
          <w:sz w:val="32"/>
          <w:szCs w:val="32"/>
        </w:rPr>
        <w:t>（二）提交专利申请预审请求时应当提交与技术方案密切相关的研发证明材料等。</w:t>
      </w:r>
    </w:p>
    <w:p>
      <w:pPr>
        <w:widowControl/>
        <w:adjustRightInd w:val="0"/>
        <w:snapToGrid w:val="0"/>
        <w:spacing w:line="560" w:lineRule="exact"/>
        <w:ind w:firstLine="642" w:firstLineChars="200"/>
        <w:jc w:val="left"/>
        <w:rPr>
          <w:rFonts w:ascii="仿宋_GB2312" w:hAnsi="Helvetica" w:eastAsia="仿宋_GB2312" w:cs="Helvetica"/>
          <w:kern w:val="0"/>
          <w:sz w:val="32"/>
          <w:szCs w:val="32"/>
          <w:highlight w:val="none"/>
        </w:rPr>
      </w:pPr>
      <w:r>
        <w:rPr>
          <w:rFonts w:hint="eastAsia" w:ascii="仿宋_GB2312" w:hAnsi="Helvetica" w:eastAsia="仿宋_GB2312" w:cs="Helvetica"/>
          <w:b/>
          <w:bCs/>
          <w:kern w:val="0"/>
          <w:sz w:val="32"/>
          <w:szCs w:val="32"/>
          <w:highlight w:val="none"/>
        </w:rPr>
        <w:t xml:space="preserve">第九条 </w:t>
      </w:r>
      <w:r>
        <w:rPr>
          <w:rFonts w:hint="eastAsia" w:ascii="仿宋_GB2312" w:hAnsi="Helvetica" w:eastAsia="仿宋_GB2312" w:cs="Helvetica"/>
          <w:kern w:val="0"/>
          <w:sz w:val="32"/>
          <w:szCs w:val="32"/>
          <w:highlight w:val="none"/>
        </w:rPr>
        <w:t>对于存在违规行为的备案主体：</w:t>
      </w:r>
    </w:p>
    <w:p>
      <w:pPr>
        <w:widowControl/>
        <w:adjustRightInd w:val="0"/>
        <w:snapToGrid w:val="0"/>
        <w:spacing w:line="560" w:lineRule="exact"/>
        <w:ind w:firstLine="640" w:firstLineChars="200"/>
        <w:jc w:val="left"/>
        <w:rPr>
          <w:rFonts w:ascii="仿宋_GB2312" w:hAnsi="Helvetica" w:eastAsia="仿宋_GB2312" w:cs="Helvetica"/>
          <w:kern w:val="0"/>
          <w:sz w:val="32"/>
          <w:szCs w:val="32"/>
          <w:highlight w:val="none"/>
        </w:rPr>
      </w:pPr>
      <w:r>
        <w:rPr>
          <w:rFonts w:hint="eastAsia" w:ascii="仿宋_GB2312" w:hAnsi="Helvetica" w:eastAsia="仿宋_GB2312" w:cs="Helvetica"/>
          <w:kern w:val="0"/>
          <w:sz w:val="32"/>
          <w:szCs w:val="32"/>
          <w:highlight w:val="none"/>
        </w:rPr>
        <w:t>（一）被暂停预审服务或取消备案资格的，不评定信用等级，不得提交预审请求，并应当及时整改违规预审行为。整改后可以提出恢复备案资格的书面申请，省保护中心视其整改情况作出处理决定。</w:t>
      </w:r>
    </w:p>
    <w:p>
      <w:pPr>
        <w:widowControl/>
        <w:adjustRightInd w:val="0"/>
        <w:snapToGrid w:val="0"/>
        <w:spacing w:line="560" w:lineRule="exact"/>
        <w:ind w:firstLine="640" w:firstLineChars="200"/>
        <w:jc w:val="left"/>
        <w:rPr>
          <w:rFonts w:ascii="仿宋_GB2312" w:hAnsi="Helvetica" w:eastAsia="仿宋_GB2312" w:cs="Helvetica"/>
          <w:kern w:val="0"/>
          <w:sz w:val="32"/>
          <w:szCs w:val="32"/>
          <w:highlight w:val="none"/>
        </w:rPr>
      </w:pPr>
      <w:r>
        <w:rPr>
          <w:rFonts w:hint="eastAsia" w:ascii="仿宋_GB2312" w:hAnsi="Helvetica" w:eastAsia="仿宋_GB2312" w:cs="Helvetica"/>
          <w:kern w:val="0"/>
          <w:sz w:val="32"/>
          <w:szCs w:val="32"/>
          <w:highlight w:val="none"/>
        </w:rPr>
        <w:t>（二）评定为C级且存在减分情况的，列为重点监管对象，再次出现违规情况暂停其预审服务，并参照本条第一款进行管理。</w:t>
      </w:r>
    </w:p>
    <w:p>
      <w:pPr>
        <w:adjustRightInd w:val="0"/>
        <w:snapToGrid w:val="0"/>
        <w:spacing w:line="560" w:lineRule="exact"/>
        <w:jc w:val="center"/>
        <w:rPr>
          <w:rFonts w:hint="eastAsia" w:ascii="黑体" w:hAnsi="黑体" w:eastAsia="黑体" w:cs="黑体"/>
          <w:sz w:val="32"/>
          <w:szCs w:val="40"/>
        </w:rPr>
      </w:pPr>
      <w:r>
        <w:rPr>
          <w:rFonts w:hint="eastAsia" w:ascii="黑体" w:hAnsi="黑体" w:eastAsia="黑体" w:cs="黑体"/>
          <w:sz w:val="32"/>
          <w:szCs w:val="40"/>
        </w:rPr>
        <w:t>第</w:t>
      </w:r>
      <w:r>
        <w:rPr>
          <w:rFonts w:hint="eastAsia" w:ascii="黑体" w:hAnsi="黑体" w:eastAsia="黑体" w:cs="黑体"/>
          <w:sz w:val="32"/>
          <w:szCs w:val="40"/>
          <w:lang w:eastAsia="zh-CN"/>
        </w:rPr>
        <w:t>三</w:t>
      </w:r>
      <w:r>
        <w:rPr>
          <w:rFonts w:hint="eastAsia" w:ascii="黑体" w:hAnsi="黑体" w:eastAsia="黑体" w:cs="黑体"/>
          <w:sz w:val="32"/>
          <w:szCs w:val="40"/>
        </w:rPr>
        <w:t>章 代理机构分级分类评价及管理</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代理机构分级评价设置基础指标、加分指标、扣分指标（附件</w:t>
      </w:r>
      <w:r>
        <w:rPr>
          <w:rFonts w:hint="eastAsia" w:ascii="仿宋_GB2312" w:hAnsi="仿宋" w:eastAsia="仿宋_GB2312" w:cs="仿宋_GB2312"/>
          <w:sz w:val="32"/>
          <w:szCs w:val="32"/>
          <w:lang w:eastAsia="zh-CN"/>
        </w:rPr>
        <w:t>二</w:t>
      </w:r>
      <w:r>
        <w:rPr>
          <w:rFonts w:hint="eastAsia" w:ascii="仿宋_GB2312" w:hAnsi="仿宋" w:eastAsia="仿宋_GB2312" w:cs="仿宋_GB2312"/>
          <w:sz w:val="32"/>
          <w:szCs w:val="32"/>
        </w:rPr>
        <w:t>）</w:t>
      </w:r>
      <w:r>
        <w:rPr>
          <w:rFonts w:hint="eastAsia" w:ascii="仿宋_GB2312" w:hAnsi="仿宋" w:eastAsia="仿宋_GB2312" w:cs="仿宋_GB2312"/>
          <w:sz w:val="32"/>
          <w:szCs w:val="32"/>
          <w:lang w:eastAsia="zh-CN"/>
        </w:rPr>
        <w:t>。</w:t>
      </w:r>
      <w:r>
        <w:rPr>
          <w:rFonts w:hint="eastAsia" w:ascii="仿宋_GB2312" w:hAnsi="Helvetica" w:eastAsia="仿宋_GB2312" w:cs="Helvetica"/>
          <w:kern w:val="0"/>
          <w:sz w:val="32"/>
          <w:szCs w:val="32"/>
        </w:rPr>
        <w:t>依据预审质量、资质荣誉、</w:t>
      </w:r>
      <w:r>
        <w:rPr>
          <w:rFonts w:hint="eastAsia" w:ascii="仿宋_GB2312" w:hAnsi="Helvetica" w:eastAsia="仿宋_GB2312" w:cs="Helvetica"/>
          <w:kern w:val="0"/>
          <w:sz w:val="32"/>
          <w:szCs w:val="32"/>
          <w:lang w:eastAsia="zh-CN"/>
        </w:rPr>
        <w:t>成效反馈、</w:t>
      </w:r>
      <w:r>
        <w:rPr>
          <w:rFonts w:hint="eastAsia" w:ascii="仿宋_GB2312" w:hAnsi="Helvetica" w:eastAsia="仿宋_GB2312" w:cs="Helvetica"/>
          <w:kern w:val="0"/>
          <w:sz w:val="32"/>
          <w:szCs w:val="32"/>
        </w:rPr>
        <w:t>工作配合、信用情况等维度</w:t>
      </w:r>
      <w:r>
        <w:rPr>
          <w:rFonts w:hint="eastAsia" w:ascii="仿宋_GB2312" w:hAnsi="Helvetica" w:eastAsia="仿宋_GB2312" w:cs="Helvetica"/>
          <w:kern w:val="0"/>
          <w:sz w:val="32"/>
          <w:szCs w:val="32"/>
          <w:lang w:eastAsia="zh-CN"/>
        </w:rPr>
        <w:t>，</w:t>
      </w:r>
      <w:r>
        <w:rPr>
          <w:rFonts w:hint="eastAsia" w:ascii="仿宋_GB2312" w:hAnsi="仿宋" w:eastAsia="仿宋_GB2312" w:cs="仿宋_GB2312"/>
          <w:sz w:val="32"/>
          <w:szCs w:val="32"/>
        </w:rPr>
        <w:t>采用总分制：总分 = 基础指标得分 + 加分指标得分 − 扣分指标得分</w:t>
      </w:r>
      <w:r>
        <w:rPr>
          <w:rFonts w:hint="eastAsia" w:ascii="仿宋_GB2312" w:hAnsi="仿宋" w:eastAsia="仿宋_GB2312" w:cs="仿宋_GB2312"/>
          <w:sz w:val="32"/>
          <w:szCs w:val="32"/>
          <w:lang w:eastAsia="zh-CN"/>
        </w:rPr>
        <w:t>，</w:t>
      </w:r>
      <w:r>
        <w:rPr>
          <w:rFonts w:hint="eastAsia" w:ascii="仿宋_GB2312" w:hAnsi="Helvetica" w:eastAsia="仿宋_GB2312" w:cs="Helvetica"/>
          <w:kern w:val="0"/>
          <w:sz w:val="32"/>
          <w:szCs w:val="32"/>
        </w:rPr>
        <w:t>由高至低划分为 A、B、C 三个等级</w:t>
      </w:r>
      <w:r>
        <w:rPr>
          <w:rFonts w:hint="eastAsia" w:ascii="仿宋_GB2312" w:hAnsi="Helvetica" w:eastAsia="仿宋_GB2312" w:cs="Helvetica"/>
          <w:kern w:val="0"/>
          <w:sz w:val="32"/>
          <w:szCs w:val="32"/>
          <w:lang w:eastAsia="zh-CN"/>
        </w:rPr>
        <w:t>。</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分级规则：</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1、</w:t>
      </w:r>
      <w:r>
        <w:rPr>
          <w:rFonts w:hint="eastAsia" w:ascii="仿宋_GB2312" w:hAnsi="仿宋" w:eastAsia="仿宋_GB2312" w:cs="仿宋_GB2312"/>
          <w:sz w:val="32"/>
          <w:szCs w:val="32"/>
        </w:rPr>
        <w:t>A级：总分≥80 分，且不触发</w:t>
      </w:r>
      <w:r>
        <w:rPr>
          <w:rFonts w:hint="eastAsia" w:ascii="仿宋_GB2312" w:hAnsi="仿宋" w:eastAsia="仿宋_GB2312" w:cs="仿宋_GB2312"/>
          <w:sz w:val="32"/>
          <w:szCs w:val="32"/>
          <w:lang w:val="en-US" w:eastAsia="zh-CN"/>
        </w:rPr>
        <w:t>C</w:t>
      </w:r>
      <w:r>
        <w:rPr>
          <w:rFonts w:hint="eastAsia" w:ascii="仿宋_GB2312" w:hAnsi="仿宋" w:eastAsia="仿宋_GB2312" w:cs="仿宋_GB2312"/>
          <w:sz w:val="32"/>
          <w:szCs w:val="32"/>
        </w:rPr>
        <w:t>级红线；</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rPr>
        <w:t>B级：60 分≤总分＜80 分，且不触发</w:t>
      </w:r>
      <w:r>
        <w:rPr>
          <w:rFonts w:hint="eastAsia" w:ascii="仿宋_GB2312" w:hAnsi="仿宋" w:eastAsia="仿宋_GB2312" w:cs="仿宋_GB2312"/>
          <w:sz w:val="32"/>
          <w:szCs w:val="32"/>
          <w:lang w:val="en-US" w:eastAsia="zh-CN"/>
        </w:rPr>
        <w:t>C</w:t>
      </w:r>
      <w:r>
        <w:rPr>
          <w:rFonts w:hint="eastAsia" w:ascii="仿宋_GB2312" w:hAnsi="仿宋" w:eastAsia="仿宋_GB2312" w:cs="仿宋_GB2312"/>
          <w:sz w:val="32"/>
          <w:szCs w:val="32"/>
        </w:rPr>
        <w:t>级红线；</w:t>
      </w:r>
    </w:p>
    <w:p>
      <w:pPr>
        <w:adjustRightInd w:val="0"/>
        <w:snapToGrid w:val="0"/>
        <w:spacing w:line="560" w:lineRule="exact"/>
        <w:ind w:firstLine="640" w:firstLineChars="200"/>
        <w:rPr>
          <w:rFonts w:hint="eastAsia" w:ascii="仿宋_GB2312" w:hAnsi="仿宋" w:eastAsia="仿宋_GB2312" w:cs="仿宋_GB2312"/>
          <w:sz w:val="32"/>
          <w:szCs w:val="32"/>
          <w:lang w:eastAsia="zh-CN"/>
        </w:rPr>
      </w:pPr>
      <w:r>
        <w:rPr>
          <w:rFonts w:hint="eastAsia" w:ascii="仿宋_GB2312" w:hAnsi="仿宋" w:eastAsia="仿宋_GB2312" w:cs="仿宋_GB2312"/>
          <w:sz w:val="32"/>
          <w:szCs w:val="32"/>
          <w:lang w:val="en-US" w:eastAsia="zh-CN"/>
        </w:rPr>
        <w:t>3、</w:t>
      </w:r>
      <w:r>
        <w:rPr>
          <w:rFonts w:hint="eastAsia" w:ascii="仿宋_GB2312" w:hAnsi="仿宋" w:eastAsia="仿宋_GB2312" w:cs="仿宋_GB2312"/>
          <w:sz w:val="32"/>
          <w:szCs w:val="32"/>
        </w:rPr>
        <w:t>C级：</w:t>
      </w:r>
      <w:r>
        <w:rPr>
          <w:rFonts w:hint="eastAsia" w:ascii="仿宋_GB2312" w:hAnsi="仿宋" w:eastAsia="仿宋_GB2312" w:cs="仿宋_GB2312"/>
          <w:sz w:val="32"/>
          <w:szCs w:val="32"/>
          <w:lang w:eastAsia="zh-CN"/>
        </w:rPr>
        <w:t>出现以下</w:t>
      </w:r>
      <w:r>
        <w:rPr>
          <w:rFonts w:hint="eastAsia" w:ascii="仿宋_GB2312" w:hAnsi="仿宋" w:eastAsia="仿宋_GB2312" w:cs="仿宋_GB2312"/>
          <w:sz w:val="32"/>
          <w:szCs w:val="32"/>
        </w:rPr>
        <w:t>任一</w:t>
      </w:r>
      <w:r>
        <w:rPr>
          <w:rFonts w:hint="eastAsia" w:ascii="仿宋_GB2312" w:hAnsi="仿宋" w:eastAsia="仿宋_GB2312" w:cs="仿宋_GB2312"/>
          <w:sz w:val="32"/>
          <w:szCs w:val="32"/>
          <w:lang w:eastAsia="zh-CN"/>
        </w:rPr>
        <w:t>情形</w:t>
      </w:r>
      <w:r>
        <w:rPr>
          <w:rFonts w:hint="eastAsia" w:ascii="仿宋_GB2312" w:hAnsi="仿宋" w:eastAsia="仿宋_GB2312" w:cs="仿宋_GB2312"/>
          <w:sz w:val="32"/>
          <w:szCs w:val="32"/>
        </w:rPr>
        <w:t>判定为</w:t>
      </w:r>
      <w:r>
        <w:rPr>
          <w:rFonts w:hint="eastAsia" w:ascii="仿宋_GB2312" w:hAnsi="仿宋" w:eastAsia="仿宋_GB2312" w:cs="仿宋_GB2312"/>
          <w:sz w:val="32"/>
          <w:szCs w:val="32"/>
          <w:lang w:val="en-US" w:eastAsia="zh-CN"/>
        </w:rPr>
        <w:t>C</w:t>
      </w:r>
      <w:r>
        <w:rPr>
          <w:rFonts w:hint="eastAsia" w:ascii="仿宋_GB2312" w:hAnsi="仿宋" w:eastAsia="仿宋_GB2312" w:cs="仿宋_GB2312"/>
          <w:sz w:val="32"/>
          <w:szCs w:val="32"/>
        </w:rPr>
        <w:t>级</w:t>
      </w:r>
      <w:r>
        <w:rPr>
          <w:rFonts w:hint="eastAsia" w:ascii="仿宋_GB2312" w:hAnsi="仿宋" w:eastAsia="仿宋_GB2312" w:cs="仿宋_GB2312"/>
          <w:sz w:val="32"/>
          <w:szCs w:val="32"/>
          <w:lang w:eastAsia="zh-CN"/>
        </w:rPr>
        <w:t>：</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①</w:t>
      </w:r>
      <w:r>
        <w:rPr>
          <w:rFonts w:hint="eastAsia" w:ascii="仿宋_GB2312" w:hAnsi="仿宋" w:eastAsia="仿宋_GB2312" w:cs="仿宋_GB2312"/>
          <w:sz w:val="32"/>
          <w:szCs w:val="32"/>
        </w:rPr>
        <w:t>总分＜60 分；</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②</w:t>
      </w:r>
      <w:r>
        <w:rPr>
          <w:rFonts w:hint="eastAsia" w:ascii="仿宋_GB2312" w:hAnsi="仿宋" w:eastAsia="仿宋_GB2312" w:cs="仿宋_GB2312"/>
          <w:sz w:val="32"/>
          <w:szCs w:val="32"/>
        </w:rPr>
        <w:t>预审合格率、审结授权率任一项得 0分；</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③</w:t>
      </w:r>
      <w:r>
        <w:rPr>
          <w:rFonts w:hint="eastAsia" w:ascii="仿宋_GB2312" w:hAnsi="仿宋" w:eastAsia="仿宋_GB2312" w:cs="仿宋_GB2312"/>
          <w:sz w:val="32"/>
          <w:szCs w:val="32"/>
        </w:rPr>
        <w:t>预审合格率+审结授权率两项总分＜40分。</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十一</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对于</w:t>
      </w:r>
      <w:r>
        <w:rPr>
          <w:rFonts w:hint="eastAsia" w:ascii="仿宋_GB2312" w:hAnsi="仿宋" w:eastAsia="仿宋_GB2312" w:cs="仿宋_GB2312"/>
          <w:sz w:val="32"/>
          <w:szCs w:val="32"/>
          <w:lang w:eastAsia="zh-CN"/>
        </w:rPr>
        <w:t>A级</w:t>
      </w:r>
      <w:r>
        <w:rPr>
          <w:rFonts w:hint="eastAsia" w:ascii="仿宋_GB2312" w:hAnsi="仿宋" w:eastAsia="仿宋_GB2312" w:cs="仿宋_GB2312"/>
          <w:sz w:val="32"/>
          <w:szCs w:val="32"/>
        </w:rPr>
        <w:t>代理机构：</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（一）专利预审相关先进经验或典型案例，给予宣传推广；</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（二）减少抽查检查频次；</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（三）在批量预审、优先预审等服务中予以优先支持。</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十二</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对于</w:t>
      </w:r>
      <w:r>
        <w:rPr>
          <w:rFonts w:hint="eastAsia" w:ascii="仿宋_GB2312" w:hAnsi="仿宋" w:eastAsia="仿宋_GB2312" w:cs="仿宋_GB2312"/>
          <w:sz w:val="32"/>
          <w:szCs w:val="32"/>
          <w:lang w:eastAsia="zh-CN"/>
        </w:rPr>
        <w:t>B级</w:t>
      </w:r>
      <w:r>
        <w:rPr>
          <w:rFonts w:hint="eastAsia" w:ascii="仿宋_GB2312" w:hAnsi="仿宋" w:eastAsia="仿宋_GB2312" w:cs="仿宋_GB2312"/>
          <w:sz w:val="32"/>
          <w:szCs w:val="32"/>
        </w:rPr>
        <w:t>代理机构：</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（一）动态监测专利申请预审质量，引导其提高专利申请预审请求撰写质量；</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（二）视情形要求提交与技术方案密切相关的研发证明等材料。</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十三</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对于</w:t>
      </w:r>
      <w:r>
        <w:rPr>
          <w:rFonts w:hint="eastAsia" w:ascii="仿宋_GB2312" w:hAnsi="仿宋" w:eastAsia="仿宋_GB2312" w:cs="仿宋_GB2312"/>
          <w:sz w:val="32"/>
          <w:szCs w:val="32"/>
          <w:lang w:eastAsia="zh-CN"/>
        </w:rPr>
        <w:t>C级</w:t>
      </w:r>
      <w:r>
        <w:rPr>
          <w:rFonts w:hint="eastAsia" w:ascii="仿宋_GB2312" w:hAnsi="仿宋" w:eastAsia="仿宋_GB2312" w:cs="仿宋_GB2312"/>
          <w:sz w:val="32"/>
          <w:szCs w:val="32"/>
        </w:rPr>
        <w:t>代理机构：</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（一）加强专利预审行为管理，提高抽查检查频次，视情况进行约谈，督促其提高专利申请预审请求撰写质量；</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（二）提交专利申请预审请求时应当提交与技术方案密切相关的研发证明材料等。</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十四</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对于存在违规行为的代理机构：</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（一）被暂停预审服务或取消资格的，不评定信用等级，不得提交预审请求，并应当及时整改违规预审行为。整改后可以提出恢复登记资格的书面申请，省保护中心视其整改情况作出处理决定；</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（二）评定为</w:t>
      </w:r>
      <w:r>
        <w:rPr>
          <w:rFonts w:hint="eastAsia" w:ascii="仿宋_GB2312" w:hAnsi="仿宋" w:eastAsia="仿宋_GB2312" w:cs="仿宋_GB2312"/>
          <w:sz w:val="32"/>
          <w:szCs w:val="32"/>
          <w:lang w:eastAsia="zh-CN"/>
        </w:rPr>
        <w:t>C级</w:t>
      </w:r>
      <w:r>
        <w:rPr>
          <w:rFonts w:hint="eastAsia" w:ascii="仿宋_GB2312" w:hAnsi="仿宋" w:eastAsia="仿宋_GB2312" w:cs="仿宋_GB2312"/>
          <w:sz w:val="32"/>
          <w:szCs w:val="32"/>
        </w:rPr>
        <w:t>且存在减分情况的，列为重点监管对象，再次出现违规情况视作本条第（一）款进行管理。</w:t>
      </w:r>
    </w:p>
    <w:p>
      <w:pPr>
        <w:widowControl/>
        <w:adjustRightInd w:val="0"/>
        <w:snapToGrid w:val="0"/>
        <w:spacing w:line="560" w:lineRule="exact"/>
        <w:ind w:firstLine="640" w:firstLineChars="200"/>
        <w:jc w:val="left"/>
        <w:rPr>
          <w:rFonts w:ascii="仿宋_GB2312" w:hAnsi="Helvetica" w:eastAsia="仿宋_GB2312" w:cs="Helvetica"/>
          <w:kern w:val="0"/>
          <w:sz w:val="32"/>
          <w:szCs w:val="32"/>
          <w:highlight w:val="none"/>
        </w:rPr>
      </w:pPr>
    </w:p>
    <w:p>
      <w:pPr>
        <w:adjustRightInd w:val="0"/>
        <w:snapToGrid w:val="0"/>
        <w:spacing w:line="560" w:lineRule="exact"/>
        <w:jc w:val="center"/>
        <w:rPr>
          <w:rFonts w:hint="eastAsia" w:ascii="黑体" w:hAnsi="黑体" w:eastAsia="黑体" w:cs="黑体"/>
          <w:sz w:val="32"/>
          <w:szCs w:val="40"/>
        </w:rPr>
      </w:pPr>
      <w:r>
        <w:rPr>
          <w:rFonts w:hint="eastAsia" w:ascii="黑体" w:hAnsi="黑体" w:eastAsia="黑体" w:cs="黑体"/>
          <w:sz w:val="32"/>
          <w:szCs w:val="40"/>
        </w:rPr>
        <w:t>第四章 分级分类评价通用实施规则</w:t>
      </w:r>
    </w:p>
    <w:p>
      <w:pPr>
        <w:widowControl/>
        <w:adjustRightInd w:val="0"/>
        <w:snapToGrid w:val="0"/>
        <w:spacing w:line="560" w:lineRule="exact"/>
        <w:ind w:firstLine="642" w:firstLineChars="200"/>
        <w:rPr>
          <w:rFonts w:ascii="仿宋_GB2312" w:hAnsi="Helvetica" w:eastAsia="仿宋_GB2312" w:cs="Helvetica"/>
          <w:kern w:val="0"/>
          <w:sz w:val="32"/>
          <w:szCs w:val="32"/>
        </w:rPr>
      </w:pPr>
      <w:r>
        <w:rPr>
          <w:rFonts w:hint="eastAsia" w:ascii="仿宋_GB2312" w:hAnsi="宋体" w:eastAsia="仿宋_GB2312" w:cs="仿宋_GB2312"/>
          <w:b/>
          <w:bCs/>
          <w:kern w:val="0"/>
          <w:sz w:val="32"/>
          <w:szCs w:val="32"/>
        </w:rPr>
        <w:t>第十</w:t>
      </w:r>
      <w:r>
        <w:rPr>
          <w:rFonts w:hint="eastAsia" w:ascii="仿宋_GB2312" w:hAnsi="宋体" w:eastAsia="仿宋_GB2312" w:cs="仿宋_GB2312"/>
          <w:b/>
          <w:bCs/>
          <w:kern w:val="0"/>
          <w:sz w:val="32"/>
          <w:szCs w:val="32"/>
          <w:lang w:eastAsia="zh-CN"/>
        </w:rPr>
        <w:t>五</w:t>
      </w:r>
      <w:r>
        <w:rPr>
          <w:rFonts w:hint="eastAsia" w:ascii="仿宋_GB2312" w:hAnsi="宋体" w:eastAsia="仿宋_GB2312" w:cs="仿宋_GB2312"/>
          <w:b/>
          <w:bCs/>
          <w:kern w:val="0"/>
          <w:sz w:val="32"/>
          <w:szCs w:val="32"/>
        </w:rPr>
        <w:t xml:space="preserve">条 </w:t>
      </w:r>
      <w:r>
        <w:rPr>
          <w:rFonts w:hint="eastAsia" w:ascii="仿宋_GB2312" w:hAnsi="仿宋" w:eastAsia="仿宋_GB2312" w:cs="仿宋_GB2312"/>
          <w:sz w:val="32"/>
          <w:szCs w:val="32"/>
        </w:rPr>
        <w:t>省保护中心分别制定备案主体、代理机构两套独立分级评价指标，依据指标开展对应主体等级评价，实施分级动态管理；两类评价指标均可根据国家、地方知识产权政策更新、专利预审案件整体质量情况动态调整。</w:t>
      </w:r>
    </w:p>
    <w:p>
      <w:pPr>
        <w:widowControl/>
        <w:adjustRightInd w:val="0"/>
        <w:snapToGrid w:val="0"/>
        <w:spacing w:line="560" w:lineRule="exact"/>
        <w:ind w:firstLine="642" w:firstLineChars="200"/>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第十</w:t>
      </w:r>
      <w:r>
        <w:rPr>
          <w:rFonts w:hint="eastAsia" w:ascii="仿宋_GB2312" w:hAnsi="Helvetica" w:eastAsia="仿宋_GB2312" w:cs="Helvetica"/>
          <w:b/>
          <w:bCs/>
          <w:kern w:val="0"/>
          <w:sz w:val="32"/>
          <w:szCs w:val="32"/>
          <w:lang w:eastAsia="zh-CN"/>
        </w:rPr>
        <w:t>六</w:t>
      </w:r>
      <w:r>
        <w:rPr>
          <w:rFonts w:hint="eastAsia" w:ascii="仿宋_GB2312" w:hAnsi="Helvetica" w:eastAsia="仿宋_GB2312" w:cs="Helvetica"/>
          <w:b/>
          <w:bCs/>
          <w:kern w:val="0"/>
          <w:sz w:val="32"/>
          <w:szCs w:val="32"/>
        </w:rPr>
        <w:t xml:space="preserve">条 </w:t>
      </w:r>
      <w:r>
        <w:rPr>
          <w:rFonts w:hint="eastAsia" w:ascii="仿宋_GB2312" w:hAnsi="Helvetica" w:eastAsia="仿宋_GB2312" w:cs="Helvetica"/>
          <w:kern w:val="0"/>
          <w:sz w:val="32"/>
          <w:szCs w:val="32"/>
        </w:rPr>
        <w:t>备案主体委托代理机构提交专利预审请求的，综合双方等级，按照备案主体、代理机构二者中较低等级执行对应预审服务与管理标准；一件专利存在多个共同申请人的，仅以第一申请人的备案主体等级作为预审管理依据。</w:t>
      </w:r>
    </w:p>
    <w:p>
      <w:pPr>
        <w:widowControl/>
        <w:adjustRightInd w:val="0"/>
        <w:snapToGrid w:val="0"/>
        <w:spacing w:line="560" w:lineRule="exact"/>
        <w:ind w:firstLine="642" w:firstLineChars="200"/>
        <w:jc w:val="left"/>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第十</w:t>
      </w:r>
      <w:r>
        <w:rPr>
          <w:rFonts w:hint="eastAsia" w:ascii="仿宋_GB2312" w:hAnsi="宋体" w:eastAsia="仿宋_GB2312" w:cs="仿宋_GB2312"/>
          <w:b/>
          <w:bCs/>
          <w:kern w:val="0"/>
          <w:sz w:val="32"/>
          <w:szCs w:val="32"/>
          <w:lang w:eastAsia="zh-CN"/>
        </w:rPr>
        <w:t>七</w:t>
      </w:r>
      <w:r>
        <w:rPr>
          <w:rFonts w:hint="eastAsia" w:ascii="仿宋_GB2312" w:hAnsi="Helvetica" w:eastAsia="仿宋_GB2312" w:cs="Helvetica"/>
          <w:b/>
          <w:bCs/>
          <w:kern w:val="0"/>
          <w:sz w:val="32"/>
          <w:szCs w:val="32"/>
        </w:rPr>
        <w:t xml:space="preserve">条 </w:t>
      </w:r>
      <w:r>
        <w:rPr>
          <w:rFonts w:hint="eastAsia" w:ascii="仿宋_GB2312" w:hAnsi="仿宋" w:eastAsia="仿宋_GB2312" w:cs="仿宋_GB2312"/>
          <w:sz w:val="32"/>
          <w:szCs w:val="32"/>
        </w:rPr>
        <w:t>省保护中心采用定期评价</w:t>
      </w:r>
      <w:r>
        <w:rPr>
          <w:rFonts w:hint="eastAsia" w:ascii="仿宋_GB2312" w:hAnsi="仿宋" w:eastAsia="仿宋_GB2312" w:cs="仿宋_GB2312"/>
          <w:sz w:val="32"/>
          <w:szCs w:val="32"/>
          <w:lang w:eastAsia="zh-CN"/>
        </w:rPr>
        <w:t>和</w:t>
      </w:r>
      <w:r>
        <w:rPr>
          <w:rFonts w:hint="eastAsia" w:ascii="仿宋_GB2312" w:hAnsi="仿宋" w:eastAsia="仿宋_GB2312" w:cs="仿宋_GB2312"/>
          <w:sz w:val="32"/>
          <w:szCs w:val="32"/>
        </w:rPr>
        <w:t>动态评价相结合模式，同步开展备案主体、代理机构等级评价：</w:t>
      </w:r>
      <w:r>
        <w:rPr>
          <w:rFonts w:hint="eastAsia" w:ascii="仿宋_GB2312" w:hAnsi="仿宋" w:eastAsia="仿宋_GB2312" w:cs="仿宋_GB2312"/>
          <w:sz w:val="32"/>
          <w:szCs w:val="32"/>
          <w:lang w:eastAsia="zh-CN"/>
        </w:rPr>
        <w:t>每年定期</w:t>
      </w:r>
      <w:r>
        <w:rPr>
          <w:rFonts w:hint="eastAsia" w:ascii="仿宋_GB2312" w:hAnsi="仿宋" w:eastAsia="仿宋_GB2312" w:cs="仿宋_GB2312"/>
          <w:sz w:val="32"/>
          <w:szCs w:val="32"/>
        </w:rPr>
        <w:t>组织全量评价；日常产生加分、扣分情形时，实时启动动态等级调整；备案主体、代理机构对自身评价结果存在异议，或需补充加分佐证材料的，均可提交书面意见陈述及对应证明材料，省保护中心完成复核后反馈最终结果。</w:t>
      </w:r>
    </w:p>
    <w:p>
      <w:pPr>
        <w:widowControl/>
        <w:adjustRightInd w:val="0"/>
        <w:snapToGrid w:val="0"/>
        <w:spacing w:line="560" w:lineRule="exact"/>
        <w:ind w:firstLine="642" w:firstLineChars="200"/>
        <w:jc w:val="left"/>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第十</w:t>
      </w:r>
      <w:r>
        <w:rPr>
          <w:rFonts w:hint="eastAsia" w:ascii="仿宋_GB2312" w:hAnsi="Helvetica" w:eastAsia="仿宋_GB2312" w:cs="Helvetica"/>
          <w:b/>
          <w:bCs/>
          <w:kern w:val="0"/>
          <w:sz w:val="32"/>
          <w:szCs w:val="32"/>
          <w:lang w:eastAsia="zh-CN"/>
        </w:rPr>
        <w:t>八</w:t>
      </w:r>
      <w:r>
        <w:rPr>
          <w:rFonts w:hint="eastAsia" w:ascii="仿宋_GB2312" w:hAnsi="Helvetica" w:eastAsia="仿宋_GB2312" w:cs="Helvetica"/>
          <w:b/>
          <w:bCs/>
          <w:kern w:val="0"/>
          <w:sz w:val="32"/>
          <w:szCs w:val="32"/>
        </w:rPr>
        <w:t>条</w:t>
      </w:r>
      <w:r>
        <w:rPr>
          <w:rFonts w:hint="eastAsia" w:ascii="仿宋_GB2312" w:hAnsi="Helvetica" w:eastAsia="仿宋_GB2312" w:cs="Helvetica"/>
          <w:kern w:val="0"/>
          <w:sz w:val="32"/>
          <w:szCs w:val="32"/>
        </w:rPr>
        <w:t xml:space="preserve"> 省保护中心对所有评价佐证材料开展真实性核查；备案主体、代理机构存在提交虚假材料、伪造资质/成果证明等行为的，直接取消当期等级评定资格，并暂停其全部预审服务权限。</w:t>
      </w:r>
    </w:p>
    <w:p>
      <w:pPr>
        <w:adjustRightInd w:val="0"/>
        <w:snapToGrid w:val="0"/>
        <w:spacing w:line="560" w:lineRule="exact"/>
        <w:jc w:val="center"/>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第五章</w:t>
      </w:r>
      <w:r>
        <w:rPr>
          <w:rFonts w:hint="eastAsia" w:ascii="仿宋_GB2312" w:hAnsi="Helvetica" w:eastAsia="仿宋_GB2312" w:cs="Helvetica"/>
          <w:kern w:val="0"/>
          <w:sz w:val="32"/>
          <w:szCs w:val="32"/>
        </w:rPr>
        <w:t xml:space="preserve"> </w:t>
      </w:r>
      <w:r>
        <w:rPr>
          <w:rFonts w:hint="eastAsia" w:ascii="黑体" w:hAnsi="黑体" w:eastAsia="黑体" w:cs="黑体"/>
          <w:sz w:val="32"/>
          <w:szCs w:val="40"/>
        </w:rPr>
        <w:t>附则</w:t>
      </w:r>
    </w:p>
    <w:p>
      <w:pPr>
        <w:widowControl/>
        <w:adjustRightInd w:val="0"/>
        <w:snapToGrid w:val="0"/>
        <w:spacing w:line="560" w:lineRule="exact"/>
        <w:ind w:firstLine="642" w:firstLineChars="200"/>
        <w:jc w:val="left"/>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第十</w:t>
      </w:r>
      <w:r>
        <w:rPr>
          <w:rFonts w:hint="eastAsia" w:ascii="仿宋_GB2312" w:hAnsi="Helvetica" w:eastAsia="仿宋_GB2312" w:cs="Helvetica"/>
          <w:b/>
          <w:bCs/>
          <w:kern w:val="0"/>
          <w:sz w:val="32"/>
          <w:szCs w:val="32"/>
          <w:lang w:eastAsia="zh-CN"/>
        </w:rPr>
        <w:t>九</w:t>
      </w:r>
      <w:r>
        <w:rPr>
          <w:rFonts w:hint="eastAsia" w:ascii="仿宋_GB2312" w:hAnsi="Helvetica" w:eastAsia="仿宋_GB2312" w:cs="Helvetica"/>
          <w:b/>
          <w:bCs/>
          <w:kern w:val="0"/>
          <w:sz w:val="32"/>
          <w:szCs w:val="32"/>
        </w:rPr>
        <w:t>条</w:t>
      </w:r>
      <w:r>
        <w:rPr>
          <w:rFonts w:hint="eastAsia" w:ascii="仿宋_GB2312" w:hAnsi="Helvetica" w:eastAsia="仿宋_GB2312" w:cs="Helvetica"/>
          <w:kern w:val="0"/>
          <w:sz w:val="32"/>
          <w:szCs w:val="32"/>
        </w:rPr>
        <w:t xml:space="preserve"> 本办法由省保护中心负责解释。</w:t>
      </w:r>
    </w:p>
    <w:p>
      <w:pPr>
        <w:widowControl/>
        <w:adjustRightInd w:val="0"/>
        <w:snapToGrid w:val="0"/>
        <w:spacing w:line="560" w:lineRule="exact"/>
        <w:ind w:firstLine="642" w:firstLineChars="200"/>
        <w:jc w:val="left"/>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w:t>
      </w:r>
      <w:r>
        <w:rPr>
          <w:rFonts w:hint="eastAsia" w:ascii="仿宋_GB2312" w:hAnsi="Helvetica" w:eastAsia="仿宋_GB2312" w:cs="Helvetica"/>
          <w:b/>
          <w:bCs/>
          <w:kern w:val="0"/>
          <w:sz w:val="32"/>
          <w:szCs w:val="32"/>
          <w:lang w:eastAsia="zh-CN"/>
        </w:rPr>
        <w:t>二十</w:t>
      </w:r>
      <w:r>
        <w:rPr>
          <w:rFonts w:hint="eastAsia" w:ascii="仿宋_GB2312" w:hAnsi="Helvetica" w:eastAsia="仿宋_GB2312" w:cs="Helvetica"/>
          <w:b/>
          <w:bCs/>
          <w:kern w:val="0"/>
          <w:sz w:val="32"/>
          <w:szCs w:val="32"/>
        </w:rPr>
        <w:t>条</w:t>
      </w:r>
      <w:r>
        <w:rPr>
          <w:rFonts w:hint="eastAsia" w:ascii="仿宋_GB2312" w:hAnsi="Helvetica" w:eastAsia="仿宋_GB2312" w:cs="Helvetica"/>
          <w:kern w:val="0"/>
          <w:sz w:val="32"/>
          <w:szCs w:val="32"/>
        </w:rPr>
        <w:t xml:space="preserve"> 本办法自发布之日起施行。</w:t>
      </w:r>
    </w:p>
    <w:p>
      <w:pPr>
        <w:widowControl/>
        <w:spacing w:after="160" w:line="278" w:lineRule="auto"/>
        <w:jc w:val="left"/>
        <w:rPr>
          <w:rFonts w:ascii="仿宋_GB2312" w:hAnsi="Helvetica" w:eastAsia="仿宋_GB2312" w:cs="Helvetica"/>
          <w:kern w:val="0"/>
          <w:sz w:val="32"/>
          <w:szCs w:val="32"/>
        </w:rPr>
        <w:sectPr>
          <w:type w:val="continuous"/>
          <w:pgSz w:w="11906" w:h="16838"/>
          <w:pgMar w:top="2098" w:right="1474" w:bottom="1985" w:left="1588" w:header="851" w:footer="992" w:gutter="0"/>
          <w:cols w:space="425" w:num="1"/>
          <w:docGrid w:type="lines" w:linePitch="312" w:charSpace="0"/>
        </w:sectPr>
      </w:pPr>
      <w:r>
        <w:rPr>
          <w:rFonts w:ascii="仿宋_GB2312" w:hAnsi="Helvetica" w:eastAsia="仿宋_GB2312" w:cs="Helvetica"/>
          <w:kern w:val="0"/>
          <w:sz w:val="32"/>
          <w:szCs w:val="32"/>
        </w:rPr>
        <w:br w:type="page"/>
      </w:r>
    </w:p>
    <w:p>
      <w:pPr>
        <w:widowControl/>
        <w:spacing w:after="160" w:line="278" w:lineRule="auto"/>
        <w:jc w:val="left"/>
        <w:rPr>
          <w:rFonts w:hint="eastAsia"/>
        </w:rPr>
      </w:pPr>
      <w:r>
        <w:rPr>
          <w:rFonts w:hint="eastAsia" w:ascii="方正小标宋简体" w:hAnsi="方正小标宋简体" w:eastAsia="方正小标宋简体" w:cs="方正小标宋简体"/>
          <w:sz w:val="40"/>
          <w:szCs w:val="44"/>
          <w:lang w:eastAsia="zh-CN"/>
        </w:rPr>
        <w:t>附件一：</w:t>
      </w:r>
      <w:r>
        <w:rPr>
          <w:rFonts w:hint="eastAsia" w:ascii="方正小标宋简体" w:hAnsi="方正小标宋简体" w:eastAsia="方正小标宋简体" w:cs="方正小标宋简体"/>
          <w:sz w:val="40"/>
          <w:szCs w:val="44"/>
        </w:rPr>
        <w:t>湖北省知识产权保护中心备案主体分级评价指标</w:t>
      </w:r>
    </w:p>
    <w:tbl>
      <w:tblPr>
        <w:tblStyle w:val="16"/>
        <w:tblpPr w:leftFromText="180" w:rightFromText="180" w:vertAnchor="text" w:horzAnchor="page" w:tblpX="1530" w:tblpY="435"/>
        <w:tblOverlap w:val="never"/>
        <w:tblW w:w="139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6"/>
        <w:gridCol w:w="1193"/>
        <w:gridCol w:w="1496"/>
        <w:gridCol w:w="1571"/>
        <w:gridCol w:w="4665"/>
        <w:gridCol w:w="45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46" w:type="dxa"/>
            <w:noWrap/>
            <w:vAlign w:val="center"/>
          </w:tcPr>
          <w:p>
            <w:pPr>
              <w:jc w:val="center"/>
              <w:rPr>
                <w:rFonts w:hint="eastAsia" w:ascii="仿宋_GB2312" w:hAnsi="仿宋_GB2312" w:eastAsia="仿宋_GB2312" w:cs="仿宋_GB2312"/>
                <w:b/>
                <w:bCs/>
                <w:szCs w:val="21"/>
              </w:rPr>
            </w:pPr>
            <w:bookmarkStart w:id="0" w:name="OLE_LINK2"/>
            <w:bookmarkStart w:id="1" w:name="OLE_LINK3"/>
            <w:r>
              <w:rPr>
                <w:rFonts w:hint="eastAsia" w:ascii="仿宋_GB2312" w:hAnsi="仿宋_GB2312" w:eastAsia="仿宋_GB2312" w:cs="仿宋_GB2312"/>
                <w:b/>
                <w:bCs/>
                <w:szCs w:val="21"/>
              </w:rPr>
              <w:t>序号</w:t>
            </w:r>
          </w:p>
        </w:tc>
        <w:tc>
          <w:tcPr>
            <w:tcW w:w="1193"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一级指标</w:t>
            </w:r>
          </w:p>
        </w:tc>
        <w:tc>
          <w:tcPr>
            <w:tcW w:w="1496"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二级指标</w:t>
            </w:r>
          </w:p>
        </w:tc>
        <w:tc>
          <w:tcPr>
            <w:tcW w:w="1571"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三级指标</w:t>
            </w:r>
          </w:p>
        </w:tc>
        <w:tc>
          <w:tcPr>
            <w:tcW w:w="4665"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指标内容含义及计算方式</w:t>
            </w:r>
          </w:p>
        </w:tc>
        <w:tc>
          <w:tcPr>
            <w:tcW w:w="4579"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评分标准及说明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0" w:hRule="atLeast"/>
        </w:trPr>
        <w:tc>
          <w:tcPr>
            <w:tcW w:w="44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193"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基础指标</w:t>
            </w:r>
          </w:p>
        </w:tc>
        <w:tc>
          <w:tcPr>
            <w:tcW w:w="149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预审质量情况</w:t>
            </w:r>
          </w:p>
        </w:tc>
        <w:tc>
          <w:tcPr>
            <w:tcW w:w="1571" w:type="dxa"/>
            <w:noWrap/>
            <w:vAlign w:val="center"/>
          </w:tcPr>
          <w:p>
            <w:pPr>
              <w:jc w:val="center"/>
              <w:rPr>
                <w:rFonts w:hint="eastAsia" w:ascii="仿宋_GB2312" w:hAnsi="仿宋_GB2312" w:eastAsia="仿宋_GB2312" w:cs="仿宋_GB2312"/>
                <w:szCs w:val="21"/>
              </w:rPr>
            </w:pPr>
          </w:p>
        </w:tc>
        <w:tc>
          <w:tcPr>
            <w:tcW w:w="4665"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预审合格率：</w:t>
            </w:r>
            <w:r>
              <w:rPr>
                <w:rFonts w:hint="eastAsia" w:ascii="仿宋_GB2312" w:hAnsi="仿宋_GB2312" w:eastAsia="仿宋_GB2312" w:cs="仿宋_GB2312"/>
                <w:szCs w:val="21"/>
                <w:lang w:eastAsia="zh-CN"/>
              </w:rPr>
              <w:t>评价年度</w:t>
            </w:r>
            <w:r>
              <w:rPr>
                <w:rFonts w:hint="eastAsia" w:ascii="仿宋_GB2312" w:hAnsi="仿宋_GB2312" w:eastAsia="仿宋_GB2312" w:cs="仿宋_GB2312"/>
                <w:szCs w:val="21"/>
              </w:rPr>
              <w:t>内，预审合格进入国家知识产权局快速审查通道的案件量与预审接受量的比值。</w:t>
            </w:r>
          </w:p>
        </w:tc>
        <w:tc>
          <w:tcPr>
            <w:tcW w:w="4579" w:type="dxa"/>
            <w:vMerge w:val="restart"/>
            <w:noWrap/>
            <w:vAlign w:val="center"/>
          </w:tcPr>
          <w:p>
            <w:pPr>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年度预审案件接受量</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5件，</w:t>
            </w:r>
            <w:r>
              <w:rPr>
                <w:rFonts w:hint="eastAsia" w:ascii="仿宋_GB2312" w:hAnsi="仿宋_GB2312" w:eastAsia="仿宋_GB2312" w:cs="仿宋_GB2312"/>
                <w:szCs w:val="21"/>
                <w:highlight w:val="none"/>
                <w:lang w:eastAsia="zh-CN"/>
              </w:rPr>
              <w:t>预审合格</w:t>
            </w:r>
            <w:r>
              <w:rPr>
                <w:rFonts w:hint="eastAsia" w:ascii="仿宋_GB2312" w:hAnsi="仿宋_GB2312" w:eastAsia="仿宋_GB2312" w:cs="仿宋_GB2312"/>
                <w:szCs w:val="21"/>
                <w:highlight w:val="none"/>
              </w:rPr>
              <w:t>率</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75</w:t>
            </w: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eastAsia="zh-CN"/>
              </w:rPr>
              <w:t>且授权</w:t>
            </w:r>
            <w:r>
              <w:rPr>
                <w:rFonts w:hint="eastAsia" w:ascii="仿宋_GB2312" w:hAnsi="仿宋_GB2312" w:eastAsia="仿宋_GB2312" w:cs="仿宋_GB2312"/>
                <w:szCs w:val="21"/>
                <w:highlight w:val="none"/>
              </w:rPr>
              <w:t>率</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80%，</w:t>
            </w:r>
            <w:r>
              <w:rPr>
                <w:rFonts w:hint="eastAsia" w:ascii="仿宋_GB2312" w:hAnsi="仿宋_GB2312" w:eastAsia="仿宋_GB2312" w:cs="仿宋_GB2312"/>
                <w:szCs w:val="21"/>
                <w:highlight w:val="none"/>
                <w:lang w:val="en-US" w:eastAsia="zh-CN"/>
              </w:rPr>
              <w:t>80</w:t>
            </w:r>
            <w:r>
              <w:rPr>
                <w:rFonts w:hint="eastAsia" w:ascii="仿宋_GB2312" w:hAnsi="仿宋_GB2312" w:eastAsia="仿宋_GB2312" w:cs="仿宋_GB2312"/>
                <w:szCs w:val="21"/>
                <w:highlight w:val="none"/>
                <w:lang w:eastAsia="zh-CN"/>
              </w:rPr>
              <w:t>分</w:t>
            </w:r>
            <w:r>
              <w:rPr>
                <w:rFonts w:hint="eastAsia" w:ascii="仿宋_GB2312" w:hAnsi="仿宋_GB2312" w:eastAsia="仿宋_GB2312" w:cs="仿宋_GB2312"/>
                <w:szCs w:val="21"/>
                <w:highlight w:val="none"/>
              </w:rPr>
              <w:t>。</w:t>
            </w:r>
          </w:p>
          <w:p>
            <w:pPr>
              <w:jc w:val="left"/>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eastAsia="zh-CN"/>
              </w:rPr>
              <w:t>年度内</w:t>
            </w:r>
            <w:r>
              <w:rPr>
                <w:rFonts w:hint="eastAsia" w:ascii="仿宋_GB2312" w:hAnsi="仿宋_GB2312" w:eastAsia="仿宋_GB2312" w:cs="仿宋_GB2312"/>
                <w:szCs w:val="21"/>
                <w:highlight w:val="none"/>
              </w:rPr>
              <w:t>预审合格率</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50%或授权率＜50%，50分。</w:t>
            </w:r>
          </w:p>
          <w:p>
            <w:pPr>
              <w:jc w:val="left"/>
              <w:rPr>
                <w:rFonts w:hint="eastAsia" w:ascii="仿宋_GB2312" w:hAnsi="仿宋_GB2312" w:eastAsia="仿宋_GB2312" w:cs="仿宋_GB2312"/>
                <w:szCs w:val="21"/>
                <w:highlight w:val="yellow"/>
              </w:rPr>
            </w:pPr>
            <w:r>
              <w:rPr>
                <w:rFonts w:hint="eastAsia" w:ascii="仿宋_GB2312" w:hAnsi="仿宋_GB2312" w:eastAsia="仿宋_GB2312" w:cs="仿宋_GB2312"/>
                <w:szCs w:val="21"/>
                <w:highlight w:val="none"/>
                <w:lang w:eastAsia="zh-CN"/>
              </w:rPr>
              <w:t>其他情形，</w:t>
            </w:r>
            <w:r>
              <w:rPr>
                <w:rFonts w:hint="eastAsia" w:ascii="仿宋_GB2312" w:hAnsi="仿宋_GB2312" w:eastAsia="仿宋_GB2312" w:cs="仿宋_GB2312"/>
                <w:szCs w:val="21"/>
                <w:highlight w:val="none"/>
                <w:lang w:val="en-US" w:eastAsia="zh-CN"/>
              </w:rPr>
              <w:t>60分</w:t>
            </w:r>
            <w:r>
              <w:rPr>
                <w:rFonts w:hint="eastAsia" w:ascii="仿宋_GB2312" w:hAnsi="仿宋_GB2312" w:eastAsia="仿宋_GB2312" w:cs="仿宋_GB2312"/>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jc w:val="center"/>
              <w:rPr>
                <w:rFonts w:hint="eastAsia" w:ascii="仿宋_GB2312" w:hAnsi="仿宋_GB2312" w:eastAsia="仿宋_GB2312" w:cs="仿宋_GB2312"/>
                <w:szCs w:val="21"/>
              </w:rPr>
            </w:pPr>
          </w:p>
        </w:tc>
        <w:tc>
          <w:tcPr>
            <w:tcW w:w="1496" w:type="dxa"/>
            <w:vMerge w:val="continue"/>
            <w:noWrap/>
            <w:vAlign w:val="center"/>
          </w:tcPr>
          <w:p>
            <w:pPr>
              <w:jc w:val="center"/>
              <w:rPr>
                <w:rFonts w:hint="eastAsia" w:ascii="仿宋_GB2312" w:hAnsi="仿宋_GB2312" w:eastAsia="仿宋_GB2312" w:cs="仿宋_GB2312"/>
                <w:szCs w:val="21"/>
              </w:rPr>
            </w:pPr>
          </w:p>
        </w:tc>
        <w:tc>
          <w:tcPr>
            <w:tcW w:w="1571" w:type="dxa"/>
            <w:noWrap/>
            <w:vAlign w:val="center"/>
          </w:tcPr>
          <w:p>
            <w:pPr>
              <w:jc w:val="center"/>
              <w:rPr>
                <w:rFonts w:hint="eastAsia" w:ascii="仿宋_GB2312" w:hAnsi="仿宋_GB2312" w:eastAsia="仿宋_GB2312" w:cs="仿宋_GB2312"/>
                <w:szCs w:val="21"/>
              </w:rPr>
            </w:pPr>
          </w:p>
        </w:tc>
        <w:tc>
          <w:tcPr>
            <w:tcW w:w="4665"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审结授权率：</w:t>
            </w:r>
            <w:r>
              <w:rPr>
                <w:rFonts w:hint="eastAsia" w:ascii="仿宋_GB2312" w:hAnsi="仿宋_GB2312" w:eastAsia="仿宋_GB2312" w:cs="仿宋_GB2312"/>
                <w:szCs w:val="21"/>
                <w:lang w:eastAsia="zh-CN"/>
              </w:rPr>
              <w:t>评价年度</w:t>
            </w:r>
            <w:r>
              <w:rPr>
                <w:rFonts w:hint="eastAsia" w:ascii="仿宋_GB2312" w:hAnsi="仿宋_GB2312" w:eastAsia="仿宋_GB2312" w:cs="仿宋_GB2312"/>
                <w:szCs w:val="21"/>
              </w:rPr>
              <w:t>内，预审合格进入国家知识产权局快速审查通道的专利授权量与审结量的比值。</w:t>
            </w:r>
          </w:p>
        </w:tc>
        <w:tc>
          <w:tcPr>
            <w:tcW w:w="4579" w:type="dxa"/>
            <w:vMerge w:val="continue"/>
            <w:noWrap/>
            <w:vAlign w:val="center"/>
          </w:tcPr>
          <w:p>
            <w:pPr>
              <w:jc w:val="left"/>
              <w:rPr>
                <w:rFonts w:hint="eastAsia" w:ascii="仿宋_GB2312" w:hAnsi="仿宋_GB2312" w:eastAsia="仿宋_GB2312" w:cs="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193" w:type="dxa"/>
            <w:vMerge w:val="restart"/>
            <w:noWrap/>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加分指标</w:t>
            </w:r>
          </w:p>
        </w:tc>
        <w:tc>
          <w:tcPr>
            <w:tcW w:w="149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资质荣誉（最高10分）</w:t>
            </w: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相关资质</w:t>
            </w:r>
          </w:p>
        </w:tc>
        <w:tc>
          <w:tcPr>
            <w:tcW w:w="4665"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国家重大科技战略力量、省级战略科技力量。</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国家级资质加10分，湖北省级资质加5分。多项资质以最高分计，且不累计加分。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rPr>
                <w:rFonts w:hint="eastAsia" w:ascii="仿宋_GB2312" w:hAnsi="仿宋_GB2312" w:eastAsia="仿宋_GB2312" w:cs="仿宋_GB2312"/>
                <w:szCs w:val="21"/>
              </w:rPr>
            </w:pPr>
          </w:p>
        </w:tc>
        <w:tc>
          <w:tcPr>
            <w:tcW w:w="1496" w:type="dxa"/>
            <w:vMerge w:val="continue"/>
            <w:noWrap/>
            <w:vAlign w:val="center"/>
          </w:tcPr>
          <w:p>
            <w:pPr>
              <w:jc w:val="center"/>
              <w:rPr>
                <w:rFonts w:hint="eastAsia" w:ascii="仿宋_GB2312" w:hAnsi="仿宋_GB2312" w:eastAsia="仿宋_GB2312" w:cs="仿宋_GB2312"/>
                <w:szCs w:val="21"/>
              </w:rPr>
            </w:pP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知识产权相关荣誉</w:t>
            </w:r>
          </w:p>
        </w:tc>
        <w:tc>
          <w:tcPr>
            <w:tcW w:w="4665"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国家知识产权示范企业、国家知识产权</w:t>
            </w:r>
            <w:r>
              <w:rPr>
                <w:rFonts w:hint="eastAsia" w:ascii="仿宋_GB2312" w:hAnsi="仿宋_GB2312" w:eastAsia="仿宋_GB2312" w:cs="仿宋_GB2312"/>
                <w:szCs w:val="21"/>
                <w:lang w:eastAsia="zh-CN"/>
              </w:rPr>
              <w:t>示范创建企业及专利产业化样板企业</w:t>
            </w:r>
            <w:r>
              <w:rPr>
                <w:rFonts w:hint="eastAsia" w:ascii="仿宋_GB2312" w:hAnsi="仿宋_GB2312" w:eastAsia="仿宋_GB2312" w:cs="仿宋_GB2312"/>
                <w:szCs w:val="21"/>
              </w:rPr>
              <w:t>。</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国家知识产权示范企业加10分，国家知识产权</w:t>
            </w:r>
            <w:r>
              <w:rPr>
                <w:rFonts w:hint="eastAsia" w:ascii="仿宋_GB2312" w:hAnsi="仿宋_GB2312" w:eastAsia="仿宋_GB2312" w:cs="仿宋_GB2312"/>
                <w:szCs w:val="21"/>
                <w:lang w:eastAsia="zh-CN"/>
              </w:rPr>
              <w:t>示范创建</w:t>
            </w:r>
            <w:r>
              <w:rPr>
                <w:rFonts w:hint="eastAsia" w:ascii="仿宋_GB2312" w:hAnsi="仿宋_GB2312" w:eastAsia="仿宋_GB2312" w:cs="仿宋_GB2312"/>
                <w:szCs w:val="21"/>
              </w:rPr>
              <w:t>企业加5分</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专利产业化样板企业</w:t>
            </w:r>
            <w:r>
              <w:rPr>
                <w:rFonts w:hint="eastAsia" w:ascii="仿宋_GB2312" w:hAnsi="仿宋_GB2312" w:eastAsia="仿宋_GB2312" w:cs="仿宋_GB2312"/>
                <w:szCs w:val="21"/>
                <w:lang w:eastAsia="zh-CN"/>
              </w:rPr>
              <w:t>加</w:t>
            </w:r>
            <w:r>
              <w:rPr>
                <w:rFonts w:hint="eastAsia" w:ascii="仿宋_GB2312" w:hAnsi="仿宋_GB2312" w:eastAsia="仿宋_GB2312" w:cs="仿宋_GB2312"/>
                <w:szCs w:val="21"/>
                <w:lang w:val="en-US" w:eastAsia="zh-CN"/>
              </w:rPr>
              <w:t>3分</w:t>
            </w:r>
            <w:r>
              <w:rPr>
                <w:rFonts w:hint="eastAsia" w:ascii="仿宋_GB2312" w:hAnsi="仿宋_GB2312" w:eastAsia="仿宋_GB2312" w:cs="仿宋_GB2312"/>
                <w:szCs w:val="21"/>
              </w:rPr>
              <w:t>。多项荣誉以最高分计，且不累计加分。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6"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rPr>
                <w:rFonts w:hint="eastAsia" w:ascii="仿宋_GB2312" w:hAnsi="仿宋_GB2312" w:eastAsia="仿宋_GB2312" w:cs="仿宋_GB2312"/>
                <w:szCs w:val="21"/>
              </w:rPr>
            </w:pPr>
          </w:p>
        </w:tc>
        <w:tc>
          <w:tcPr>
            <w:tcW w:w="1496" w:type="dxa"/>
            <w:vMerge w:val="continue"/>
            <w:tcBorders>
              <w:bottom w:val="single" w:color="auto" w:sz="4" w:space="0"/>
            </w:tcBorders>
            <w:noWrap/>
            <w:vAlign w:val="center"/>
          </w:tcPr>
          <w:p>
            <w:pPr>
              <w:jc w:val="center"/>
              <w:rPr>
                <w:rFonts w:hint="eastAsia" w:ascii="仿宋_GB2312" w:hAnsi="仿宋_GB2312" w:eastAsia="仿宋_GB2312" w:cs="仿宋_GB2312"/>
                <w:szCs w:val="21"/>
              </w:rPr>
            </w:pP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预审合格后授权专利获得奖项</w:t>
            </w:r>
          </w:p>
        </w:tc>
        <w:tc>
          <w:tcPr>
            <w:tcW w:w="4665"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预审合格后授权专利获得中国专利奖</w:t>
            </w:r>
            <w:r>
              <w:rPr>
                <w:rFonts w:hint="eastAsia" w:ascii="仿宋_GB2312" w:hAnsi="仿宋_GB2312" w:eastAsia="仿宋_GB2312" w:cs="仿宋_GB2312"/>
                <w:szCs w:val="21"/>
                <w:lang w:eastAsia="zh-CN"/>
              </w:rPr>
              <w:t>、湖北专利奖及湖北省高价值专利大赛</w:t>
            </w:r>
            <w:r>
              <w:rPr>
                <w:rFonts w:hint="eastAsia" w:ascii="仿宋_GB2312" w:hAnsi="仿宋_GB2312" w:eastAsia="仿宋_GB2312" w:cs="仿宋_GB2312"/>
                <w:szCs w:val="21"/>
              </w:rPr>
              <w:t>。</w:t>
            </w:r>
          </w:p>
        </w:tc>
        <w:tc>
          <w:tcPr>
            <w:tcW w:w="4579" w:type="dxa"/>
            <w:noWrap/>
            <w:vAlign w:val="center"/>
          </w:tcPr>
          <w:p>
            <w:pPr>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获得中国专利奖金奖加10分，银奖加8分，优秀奖加6分。获得</w:t>
            </w:r>
            <w:r>
              <w:rPr>
                <w:rFonts w:hint="eastAsia" w:ascii="仿宋_GB2312" w:hAnsi="仿宋_GB2312" w:eastAsia="仿宋_GB2312" w:cs="仿宋_GB2312"/>
                <w:szCs w:val="21"/>
                <w:lang w:eastAsia="zh-CN"/>
              </w:rPr>
              <w:t>湖北专利奖金奖加</w:t>
            </w:r>
            <w:r>
              <w:rPr>
                <w:rFonts w:hint="eastAsia" w:ascii="仿宋_GB2312" w:hAnsi="仿宋_GB2312" w:eastAsia="仿宋_GB2312" w:cs="仿宋_GB2312"/>
                <w:szCs w:val="21"/>
                <w:lang w:val="en-US" w:eastAsia="zh-CN"/>
              </w:rPr>
              <w:t>8分，银奖加6分，优秀奖加4分</w:t>
            </w:r>
            <w:r>
              <w:rPr>
                <w:rFonts w:hint="eastAsia" w:ascii="仿宋_GB2312" w:hAnsi="仿宋_GB2312" w:eastAsia="仿宋_GB2312" w:cs="仿宋_GB2312"/>
                <w:szCs w:val="21"/>
              </w:rPr>
              <w:t>。</w:t>
            </w:r>
            <w:r>
              <w:rPr>
                <w:rFonts w:hint="eastAsia" w:ascii="仿宋_GB2312" w:hAnsi="仿宋_GB2312" w:eastAsia="仿宋_GB2312" w:cs="仿宋_GB2312"/>
                <w:szCs w:val="21"/>
                <w:lang w:eastAsia="zh-CN"/>
              </w:rPr>
              <w:t>获得湖北省高价值专利大赛金奖加</w:t>
            </w:r>
            <w:r>
              <w:rPr>
                <w:rFonts w:hint="eastAsia" w:ascii="仿宋_GB2312" w:hAnsi="仿宋_GB2312" w:eastAsia="仿宋_GB2312" w:cs="仿宋_GB2312"/>
                <w:szCs w:val="21"/>
                <w:lang w:val="en-US" w:eastAsia="zh-CN"/>
              </w:rPr>
              <w:t>4分，银奖加5分，优秀奖加3分。多项奖项以最高分计，且不累计加分。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jc w:val="center"/>
              <w:rPr>
                <w:rFonts w:hint="eastAsia" w:ascii="仿宋_GB2312" w:hAnsi="仿宋_GB2312" w:eastAsia="仿宋_GB2312" w:cs="仿宋_GB2312"/>
                <w:szCs w:val="21"/>
              </w:rPr>
            </w:pPr>
          </w:p>
        </w:tc>
        <w:tc>
          <w:tcPr>
            <w:tcW w:w="1496" w:type="dxa"/>
            <w:tcBorders>
              <w:top w:val="single" w:color="auto" w:sz="4" w:space="0"/>
              <w:bottom w:val="single" w:color="auto" w:sz="4" w:space="0"/>
            </w:tcBorders>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成效反馈</w:t>
            </w: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（最高10分）</w:t>
            </w: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报送典型案例</w:t>
            </w:r>
          </w:p>
        </w:tc>
        <w:tc>
          <w:tcPr>
            <w:tcW w:w="4665" w:type="dxa"/>
            <w:noWrap/>
            <w:vAlign w:val="center"/>
          </w:tcPr>
          <w:p>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评价年度内</w:t>
            </w:r>
            <w:r>
              <w:rPr>
                <w:rFonts w:hint="eastAsia" w:ascii="仿宋_GB2312" w:hAnsi="仿宋_GB2312" w:eastAsia="仿宋_GB2312" w:cs="仿宋_GB2312"/>
                <w:szCs w:val="21"/>
              </w:rPr>
              <w:t>向省保护中心反馈预审典型案例并被采纳。提供的预审典型案例包括但不限于：授权发明创造产生了较好的转化应用效果、解决了关键“卡脖子”技术问题、取得了较好的经济、社会价值等。</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转化应用效果包括不限于</w:t>
            </w:r>
            <w:r>
              <w:rPr>
                <w:rFonts w:hint="eastAsia" w:ascii="仿宋_GB2312" w:hAnsi="仿宋_GB2312" w:eastAsia="仿宋_GB2312" w:cs="仿宋_GB2312"/>
                <w:szCs w:val="21"/>
              </w:rPr>
              <w:t>产学研合作、专利作价入股、转让、许可、质押融资等多种形式的转化运用，或被认定为专利密集型产品，需要提供主要做法、解决问题、创新之处、主要成效等说明材料</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报送省保护中心预审服务效果案例被省级以上部门采纳，每个案例加10分，被省保护中心采纳，每个案例加5分</w:t>
            </w:r>
            <w:r>
              <w:rPr>
                <w:rFonts w:hint="eastAsia" w:ascii="仿宋_GB2312" w:hAnsi="仿宋_GB2312" w:eastAsia="仿宋_GB2312" w:cs="仿宋_GB2312"/>
                <w:szCs w:val="21"/>
                <w:lang w:eastAsia="zh-CN"/>
              </w:rPr>
              <w:t>，评价年度内报送典型案例加</w:t>
            </w:r>
            <w:r>
              <w:rPr>
                <w:rFonts w:hint="eastAsia" w:ascii="仿宋_GB2312" w:hAnsi="仿宋_GB2312" w:eastAsia="仿宋_GB2312" w:cs="仿宋_GB2312"/>
                <w:szCs w:val="21"/>
                <w:lang w:val="en-US" w:eastAsia="zh-CN"/>
              </w:rPr>
              <w:t>2分；成效评价以最高分计，不累计加分。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jc w:val="center"/>
              <w:rPr>
                <w:rFonts w:hint="eastAsia" w:ascii="仿宋_GB2312" w:hAnsi="仿宋_GB2312" w:eastAsia="仿宋_GB2312" w:cs="仿宋_GB2312"/>
                <w:szCs w:val="21"/>
              </w:rPr>
            </w:pPr>
          </w:p>
        </w:tc>
        <w:tc>
          <w:tcPr>
            <w:tcW w:w="1496" w:type="dxa"/>
            <w:tcBorders>
              <w:top w:val="single" w:color="auto" w:sz="4" w:space="0"/>
              <w:bottom w:val="single" w:color="auto" w:sz="4" w:space="0"/>
            </w:tcBorders>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配合工作（最高10分）</w:t>
            </w:r>
          </w:p>
        </w:tc>
        <w:tc>
          <w:tcPr>
            <w:tcW w:w="1571" w:type="dxa"/>
            <w:noWrap/>
            <w:vAlign w:val="center"/>
          </w:tcPr>
          <w:p>
            <w:pPr>
              <w:jc w:val="center"/>
              <w:rPr>
                <w:rFonts w:hint="eastAsia" w:ascii="仿宋_GB2312" w:hAnsi="仿宋_GB2312" w:eastAsia="仿宋_GB2312" w:cs="仿宋_GB2312"/>
                <w:szCs w:val="21"/>
              </w:rPr>
            </w:pPr>
          </w:p>
        </w:tc>
        <w:tc>
          <w:tcPr>
            <w:tcW w:w="4665" w:type="dxa"/>
            <w:noWrap/>
            <w:vAlign w:val="center"/>
          </w:tcPr>
          <w:p>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评价年度内，积极参加省保护中心组织的各项业务活动，积极配合保护中心调查问卷、意见征集等工作。</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提供经验分享或技术授课，每次加2分；配合参与调研、座谈、需求调查等工作，每次加1分。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44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193"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扣分指标</w:t>
            </w:r>
          </w:p>
        </w:tc>
        <w:tc>
          <w:tcPr>
            <w:tcW w:w="149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信用情况</w:t>
            </w: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（最高10分）</w:t>
            </w: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违反专利预审相关制度</w:t>
            </w:r>
          </w:p>
        </w:tc>
        <w:tc>
          <w:tcPr>
            <w:tcW w:w="4665"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评价年度</w:t>
            </w:r>
            <w:r>
              <w:rPr>
                <w:rFonts w:hint="eastAsia" w:ascii="仿宋_GB2312" w:hAnsi="仿宋_GB2312" w:eastAsia="仿宋_GB2312" w:cs="仿宋_GB2312"/>
                <w:szCs w:val="21"/>
              </w:rPr>
              <w:t>内，违反省保护中心《专利预审备案主体和专利代理机构管理办法》。</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予以提醒：扣5分；</w:t>
            </w:r>
          </w:p>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被暂停专利预审服务：扣10分。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4"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jc w:val="center"/>
              <w:rPr>
                <w:rFonts w:hint="eastAsia" w:ascii="仿宋_GB2312" w:hAnsi="仿宋_GB2312" w:eastAsia="仿宋_GB2312" w:cs="仿宋_GB2312"/>
                <w:szCs w:val="21"/>
              </w:rPr>
            </w:pPr>
          </w:p>
        </w:tc>
        <w:tc>
          <w:tcPr>
            <w:tcW w:w="1496" w:type="dxa"/>
            <w:vMerge w:val="continue"/>
            <w:noWrap/>
            <w:vAlign w:val="center"/>
          </w:tcPr>
          <w:p>
            <w:pPr>
              <w:jc w:val="center"/>
              <w:rPr>
                <w:rFonts w:hint="eastAsia" w:ascii="仿宋_GB2312" w:hAnsi="仿宋_GB2312" w:eastAsia="仿宋_GB2312" w:cs="仿宋_GB2312"/>
                <w:szCs w:val="21"/>
              </w:rPr>
            </w:pP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涉及不以保护创新为目的的专利申请</w:t>
            </w:r>
          </w:p>
        </w:tc>
        <w:tc>
          <w:tcPr>
            <w:tcW w:w="4665"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评价年度</w:t>
            </w:r>
            <w:r>
              <w:rPr>
                <w:rFonts w:hint="eastAsia" w:ascii="仿宋_GB2312" w:hAnsi="仿宋_GB2312" w:eastAsia="仿宋_GB2312" w:cs="仿宋_GB2312"/>
                <w:szCs w:val="21"/>
              </w:rPr>
              <w:t>内，预审合格进入国家知识产权局快速审查通道的案件存在不以保护创新为目的的专利申请（申诉成功的除外）。</w:t>
            </w:r>
          </w:p>
        </w:tc>
        <w:tc>
          <w:tcPr>
            <w:tcW w:w="4579" w:type="dxa"/>
            <w:noWrap/>
            <w:vAlign w:val="center"/>
          </w:tcPr>
          <w:p>
            <w:pPr>
              <w:widowControl/>
              <w:jc w:val="left"/>
              <w:rPr>
                <w:rFonts w:hint="eastAsia" w:ascii="仿宋_GB2312" w:hAnsi="仿宋_GB2312" w:eastAsia="仿宋_GB2312" w:cs="仿宋_GB2312"/>
                <w:szCs w:val="21"/>
              </w:rPr>
            </w:pPr>
            <w:r>
              <w:rPr>
                <w:rFonts w:hint="eastAsia" w:ascii="仿宋_GB2312" w:hAnsi="仿宋_GB2312" w:eastAsia="仿宋_GB2312" w:cs="仿宋_GB2312"/>
                <w:szCs w:val="21"/>
              </w:rPr>
              <w:t>出现该情形，扣10分。</w:t>
            </w:r>
          </w:p>
        </w:tc>
      </w:tr>
      <w:bookmarkEnd w:id="0"/>
      <w:bookmarkEnd w:id="1"/>
    </w:tbl>
    <w:p>
      <w:pPr>
        <w:spacing w:line="560" w:lineRule="exact"/>
        <w:rPr>
          <w:rFonts w:hint="eastAsia"/>
        </w:rPr>
      </w:pPr>
    </w:p>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jc w:val="left"/>
        <w:textAlignment w:val="auto"/>
        <w:rPr>
          <w:rFonts w:hint="eastAsia" w:ascii="仿宋_GB2312" w:hAnsi="仿宋_GB2312" w:eastAsia="仿宋_GB2312" w:cs="仿宋_GB2312"/>
          <w:sz w:val="32"/>
          <w:szCs w:val="32"/>
          <w:lang w:eastAsia="zh-CN"/>
        </w:rPr>
        <w:sectPr>
          <w:type w:val="continuous"/>
          <w:pgSz w:w="16838" w:h="11906" w:orient="landscape"/>
          <w:pgMar w:top="1588" w:right="2098" w:bottom="1474" w:left="1985" w:header="851" w:footer="992" w:gutter="0"/>
          <w:cols w:space="425" w:num="1"/>
          <w:docGrid w:type="linesAndChars" w:linePitch="312" w:charSpace="0"/>
        </w:sectPr>
      </w:pPr>
      <w:r>
        <w:rPr>
          <w:rFonts w:hint="eastAsia" w:ascii="仿宋_GB2312" w:hAnsi="仿宋_GB2312" w:eastAsia="仿宋_GB2312" w:cs="仿宋_GB2312"/>
          <w:szCs w:val="21"/>
        </w:rPr>
        <w:t>注：根据基础指标确定基础评级，结合加分、扣分指标的最终分数，确定最终评级结果</w:t>
      </w:r>
      <w:r>
        <w:rPr>
          <w:rFonts w:hint="eastAsia" w:ascii="仿宋_GB2312" w:hAnsi="仿宋_GB2312" w:eastAsia="仿宋_GB2312" w:cs="仿宋_GB2312"/>
          <w:szCs w:val="21"/>
          <w:lang w:eastAsia="zh-CN"/>
        </w:rPr>
        <w:t>。</w:t>
      </w:r>
    </w:p>
    <w:p>
      <w:pPr>
        <w:keepNext w:val="0"/>
        <w:keepLines w:val="0"/>
        <w:widowControl/>
        <w:suppressLineNumbers w:val="0"/>
        <w:jc w:val="left"/>
        <w:rPr>
          <w:rFonts w:hint="eastAsia" w:ascii="方正小标宋简体" w:hAnsi="方正小标宋简体" w:eastAsia="方正小标宋简体" w:cs="方正小标宋简体"/>
          <w:sz w:val="40"/>
          <w:szCs w:val="44"/>
          <w:lang w:eastAsia="zh-CN"/>
        </w:rPr>
      </w:pPr>
      <w:r>
        <w:rPr>
          <w:rFonts w:hint="eastAsia" w:ascii="方正小标宋简体" w:hAnsi="方正小标宋简体" w:eastAsia="方正小标宋简体" w:cs="方正小标宋简体"/>
          <w:sz w:val="40"/>
          <w:szCs w:val="44"/>
          <w:lang w:eastAsia="zh-CN"/>
        </w:rPr>
        <w:t>附件二：</w:t>
      </w:r>
      <w:r>
        <w:rPr>
          <w:rFonts w:hint="eastAsia" w:ascii="方正小标宋简体" w:hAnsi="方正小标宋简体" w:eastAsia="方正小标宋简体" w:cs="方正小标宋简体"/>
          <w:sz w:val="40"/>
          <w:szCs w:val="44"/>
        </w:rPr>
        <w:t>代理机构分级分类评价</w:t>
      </w:r>
      <w:r>
        <w:rPr>
          <w:rFonts w:hint="eastAsia" w:ascii="方正小标宋简体" w:hAnsi="方正小标宋简体" w:eastAsia="方正小标宋简体" w:cs="方正小标宋简体"/>
          <w:sz w:val="40"/>
          <w:szCs w:val="44"/>
          <w:lang w:eastAsia="zh-CN"/>
        </w:rPr>
        <w:t>指标</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31"/>
        <w:gridCol w:w="1437"/>
        <w:gridCol w:w="1538"/>
        <w:gridCol w:w="1537"/>
        <w:gridCol w:w="4670"/>
        <w:gridCol w:w="3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blHeader/>
        </w:trPr>
        <w:tc>
          <w:tcPr>
            <w:tcW w:w="531"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p>
        </w:tc>
        <w:tc>
          <w:tcPr>
            <w:tcW w:w="14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一级指标</w:t>
            </w:r>
          </w:p>
        </w:tc>
        <w:tc>
          <w:tcPr>
            <w:tcW w:w="1538"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二级指标</w:t>
            </w: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三级指标</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指标内容含义及计算方式</w:t>
            </w:r>
          </w:p>
        </w:tc>
        <w:tc>
          <w:tcPr>
            <w:tcW w:w="0" w:type="auto"/>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评分标准及说明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1</w:t>
            </w:r>
          </w:p>
        </w:tc>
        <w:tc>
          <w:tcPr>
            <w:tcW w:w="1437"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基础指标</w:t>
            </w:r>
          </w:p>
        </w:tc>
        <w:tc>
          <w:tcPr>
            <w:tcW w:w="1538"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预审质量情况</w:t>
            </w: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预审</w:t>
            </w:r>
          </w:p>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合格率</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评价年度内，预审合格进入国家知识产权局快速审查通道的案件量与预审受理量的比值。</w:t>
            </w:r>
          </w:p>
        </w:tc>
        <w:tc>
          <w:tcPr>
            <w:tcW w:w="0" w:type="auto"/>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≥90%：50 分；80%–89%：40 分；</w:t>
            </w:r>
          </w:p>
          <w:p>
            <w:pPr>
              <w:keepNext w:val="0"/>
              <w:keepLines w:val="0"/>
              <w:widowControl/>
              <w:suppressLineNumbers w:val="0"/>
              <w:jc w:val="both"/>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70%–79%：30 分；60%–69%：20 分；50%-59%：10分；＜50%：0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审结</w:t>
            </w:r>
          </w:p>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授权率</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评价年度内，预审合格进入国家知识产权局快速审查通道的专利授权量与审结量的比值。</w:t>
            </w:r>
          </w:p>
        </w:tc>
        <w:tc>
          <w:tcPr>
            <w:tcW w:w="0" w:type="auto"/>
            <w:tcBorders>
              <w:top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≥90%：40分；80%–89%：30 分；</w:t>
            </w:r>
          </w:p>
          <w:p>
            <w:pPr>
              <w:keepNext w:val="0"/>
              <w:keepLines w:val="0"/>
              <w:widowControl/>
              <w:suppressLineNumbers w:val="0"/>
              <w:jc w:val="both"/>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70%–79%：20 分；50%–69%：10 分；＜50%：0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预审案件质量</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评价年度内，预审通过案件在国家知识产权局审查阶段的缺陷发生率。</w:t>
            </w:r>
          </w:p>
        </w:tc>
        <w:tc>
          <w:tcPr>
            <w:tcW w:w="0" w:type="auto"/>
            <w:tcBorders>
              <w:top w:val="single" w:color="auto" w:sz="4" w:space="0"/>
            </w:tcBorders>
            <w:noWrap w:val="0"/>
            <w:tcMar>
              <w:top w:w="120" w:type="dxa"/>
              <w:left w:w="120" w:type="dxa"/>
              <w:bottom w:w="120" w:type="dxa"/>
              <w:right w:w="120" w:type="dxa"/>
            </w:tcMar>
            <w:vAlign w:val="center"/>
          </w:tcPr>
          <w:p>
            <w:pPr>
              <w:keepNext w:val="0"/>
              <w:keepLines w:val="0"/>
              <w:widowControl/>
              <w:suppressLineNumbers w:val="0"/>
              <w:jc w:val="both"/>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≤5%：10 分；5%–10%：8分；</w:t>
            </w:r>
          </w:p>
          <w:p>
            <w:pPr>
              <w:keepNext w:val="0"/>
              <w:keepLines w:val="0"/>
              <w:widowControl/>
              <w:suppressLineNumbers w:val="0"/>
              <w:jc w:val="both"/>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10%–20%：5 分；20%–30%：2 分；</w:t>
            </w:r>
          </w:p>
          <w:p>
            <w:pPr>
              <w:jc w:val="both"/>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＞30%：0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2</w:t>
            </w:r>
          </w:p>
        </w:tc>
        <w:tc>
          <w:tcPr>
            <w:tcW w:w="1437"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加分指标</w:t>
            </w:r>
          </w:p>
        </w:tc>
        <w:tc>
          <w:tcPr>
            <w:tcW w:w="1538"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相关荣誉（最高10分）</w:t>
            </w: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预审合格授权专利获得奖项</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仿宋_GB2312" w:hAnsi="仿宋_GB2312" w:eastAsia="仿宋_GB2312" w:cs="仿宋_GB2312"/>
                <w:szCs w:val="21"/>
              </w:rPr>
              <w:t>预审合格后授权专利获得中国专利奖</w:t>
            </w:r>
            <w:r>
              <w:rPr>
                <w:rFonts w:hint="eastAsia" w:ascii="仿宋_GB2312" w:hAnsi="仿宋_GB2312" w:eastAsia="仿宋_GB2312" w:cs="仿宋_GB2312"/>
                <w:szCs w:val="21"/>
                <w:lang w:eastAsia="zh-CN"/>
              </w:rPr>
              <w:t>、湖北专利奖及湖北省高价值专利大赛</w:t>
            </w:r>
            <w:r>
              <w:rPr>
                <w:rFonts w:hint="eastAsia" w:ascii="仿宋_GB2312" w:hAnsi="仿宋_GB2312" w:eastAsia="仿宋_GB2312" w:cs="仿宋_GB2312"/>
                <w:szCs w:val="21"/>
              </w:rPr>
              <w:t>。</w:t>
            </w:r>
          </w:p>
        </w:tc>
        <w:tc>
          <w:tcPr>
            <w:tcW w:w="0" w:type="auto"/>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仿宋_GB2312" w:hAnsi="仿宋_GB2312" w:eastAsia="仿宋_GB2312" w:cs="仿宋_GB2312"/>
                <w:szCs w:val="21"/>
              </w:rPr>
              <w:t>获得中国专利奖金奖加10分，银奖加8分，优秀奖加6分。获得</w:t>
            </w:r>
            <w:r>
              <w:rPr>
                <w:rFonts w:hint="eastAsia" w:ascii="仿宋_GB2312" w:hAnsi="仿宋_GB2312" w:eastAsia="仿宋_GB2312" w:cs="仿宋_GB2312"/>
                <w:szCs w:val="21"/>
                <w:lang w:eastAsia="zh-CN"/>
              </w:rPr>
              <w:t>湖北专利奖金奖加</w:t>
            </w:r>
            <w:r>
              <w:rPr>
                <w:rFonts w:hint="eastAsia" w:ascii="仿宋_GB2312" w:hAnsi="仿宋_GB2312" w:eastAsia="仿宋_GB2312" w:cs="仿宋_GB2312"/>
                <w:szCs w:val="21"/>
                <w:lang w:val="en-US" w:eastAsia="zh-CN"/>
              </w:rPr>
              <w:t>8分，银奖加6分，优秀奖加4分</w:t>
            </w:r>
            <w:r>
              <w:rPr>
                <w:rFonts w:hint="eastAsia" w:ascii="仿宋_GB2312" w:hAnsi="仿宋_GB2312" w:eastAsia="仿宋_GB2312" w:cs="仿宋_GB2312"/>
                <w:szCs w:val="21"/>
              </w:rPr>
              <w:t>。</w:t>
            </w:r>
            <w:r>
              <w:rPr>
                <w:rFonts w:hint="eastAsia" w:ascii="仿宋_GB2312" w:hAnsi="仿宋_GB2312" w:eastAsia="仿宋_GB2312" w:cs="仿宋_GB2312"/>
                <w:szCs w:val="21"/>
                <w:lang w:eastAsia="zh-CN"/>
              </w:rPr>
              <w:t>获得湖北省高价值专利大赛金奖加</w:t>
            </w:r>
            <w:r>
              <w:rPr>
                <w:rFonts w:hint="eastAsia" w:ascii="仿宋_GB2312" w:hAnsi="仿宋_GB2312" w:eastAsia="仿宋_GB2312" w:cs="仿宋_GB2312"/>
                <w:szCs w:val="21"/>
                <w:lang w:val="en-US" w:eastAsia="zh-CN"/>
              </w:rPr>
              <w:t>4分，银奖加5分，优秀奖加3分。多项奖项以最高分计，且不累计加分。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代理机构信用荣誉</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国家知识产权局专利代理信用评价A级、湖北省专利代理机构等级评定AAAA级及以上。</w:t>
            </w:r>
          </w:p>
        </w:tc>
        <w:tc>
          <w:tcPr>
            <w:tcW w:w="0" w:type="auto"/>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国家知识产权局信用A级加10分，湖北省AAAA级及以上加5分。多项荣誉以最高分计，且不累计加分。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tcBorders>
              <w:bottom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tcBorders>
              <w:bottom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成效反馈（最高10分）</w:t>
            </w:r>
          </w:p>
        </w:tc>
        <w:tc>
          <w:tcPr>
            <w:tcW w:w="1537" w:type="dxa"/>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报送典型案例</w:t>
            </w:r>
          </w:p>
        </w:tc>
        <w:tc>
          <w:tcPr>
            <w:tcW w:w="4670" w:type="dxa"/>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评价年度内，向省保护中心反馈预审典型案例并被采纳。提供的预审典型案例包括但不限于：授权发明创造产生了较好的转化应用效果、解决了关键“卡脖子”技术问题、取得了较好的经济、社会价值等。</w:t>
            </w:r>
          </w:p>
        </w:tc>
        <w:tc>
          <w:tcPr>
            <w:tcW w:w="0" w:type="auto"/>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仿宋_GB2312" w:hAnsi="仿宋_GB2312" w:eastAsia="仿宋_GB2312" w:cs="仿宋_GB2312"/>
                <w:szCs w:val="21"/>
                <w:lang w:eastAsia="zh-CN"/>
              </w:rPr>
              <w:t>转化应用效果包括不限于</w:t>
            </w:r>
            <w:r>
              <w:rPr>
                <w:rFonts w:hint="eastAsia" w:ascii="仿宋_GB2312" w:hAnsi="仿宋_GB2312" w:eastAsia="仿宋_GB2312" w:cs="仿宋_GB2312"/>
                <w:szCs w:val="21"/>
              </w:rPr>
              <w:t>产学研合作、专利作价入股、转让、许可、质押融资等多种形式的转化运用，或被认定为专利密集型产品，需要提供主要做法、解决问题、创新之处、主要成效等说明材料</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报送省保护中心预审服务效果案例被省级以上部门采纳，每个案例加10分，被省保护中心采纳，每个案例加5分</w:t>
            </w:r>
            <w:r>
              <w:rPr>
                <w:rFonts w:hint="eastAsia" w:ascii="仿宋_GB2312" w:hAnsi="仿宋_GB2312" w:eastAsia="仿宋_GB2312" w:cs="仿宋_GB2312"/>
                <w:szCs w:val="21"/>
                <w:lang w:eastAsia="zh-CN"/>
              </w:rPr>
              <w:t>，评价年度内报送典型案例加</w:t>
            </w:r>
            <w:r>
              <w:rPr>
                <w:rFonts w:hint="eastAsia" w:ascii="仿宋_GB2312" w:hAnsi="仿宋_GB2312" w:eastAsia="仿宋_GB2312" w:cs="仿宋_GB2312"/>
                <w:szCs w:val="21"/>
                <w:lang w:val="en-US" w:eastAsia="zh-CN"/>
              </w:rPr>
              <w:t>2分；成效评价以最高分计，不累计加分。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配合工作（最高10分）</w:t>
            </w:r>
          </w:p>
        </w:tc>
        <w:tc>
          <w:tcPr>
            <w:tcW w:w="153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工作配合情况</w:t>
            </w:r>
          </w:p>
        </w:tc>
        <w:tc>
          <w:tcPr>
            <w:tcW w:w="467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评价年度内，积极参加省保护中心组织的各项业务活动，积极配合保护中心调查问卷、意见征集、业务培训等工作。</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提供经验分享或技术授课，每次加2分；配合参与调研、座谈、需求调查等工作，每次加1分。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3</w:t>
            </w:r>
          </w:p>
        </w:tc>
        <w:tc>
          <w:tcPr>
            <w:tcW w:w="1437"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扣分指标</w:t>
            </w:r>
          </w:p>
        </w:tc>
        <w:tc>
          <w:tcPr>
            <w:tcW w:w="1538"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信用情况（最高10分）</w:t>
            </w:r>
          </w:p>
        </w:tc>
        <w:tc>
          <w:tcPr>
            <w:tcW w:w="153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违反专利预审相关制度</w:t>
            </w:r>
          </w:p>
        </w:tc>
        <w:tc>
          <w:tcPr>
            <w:tcW w:w="467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评价年度内，违反省保护中心《专利预审备案主体和专利代理机构管理办法》。</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予以提醒：扣5分；被暂停专利预审服务：扣10分。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涉及不以保护创新为目的的专利申请</w:t>
            </w:r>
          </w:p>
        </w:tc>
        <w:tc>
          <w:tcPr>
            <w:tcW w:w="467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评价年度内，预审合格进入国家知识产权局快速审查通道的案件存在不以保护创新为目的的专利申请（申诉成功的除外）。</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出现该情形，扣10分。</w:t>
            </w:r>
          </w:p>
        </w:tc>
      </w:tr>
    </w:tbl>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注：根据基础指标确定基础评级，结合加分、扣分指标的最终分数，确定最终评级结果。</w:t>
      </w:r>
      <w:bookmarkStart w:id="2" w:name="_GoBack"/>
      <w:bookmarkEnd w:id="2"/>
    </w:p>
    <w:p>
      <w:pPr>
        <w:keepNext w:val="0"/>
        <w:keepLines w:val="0"/>
        <w:pageBreakBefore w:val="0"/>
        <w:widowControl w:val="0"/>
        <w:kinsoku/>
        <w:wordWrap/>
        <w:overflowPunct/>
        <w:topLinePunct w:val="0"/>
        <w:autoSpaceDE/>
        <w:autoSpaceDN/>
        <w:bidi w:val="0"/>
        <w:adjustRightInd w:val="0"/>
        <w:snapToGrid w:val="0"/>
        <w:textAlignment w:val="auto"/>
        <w:rPr>
          <w:rFonts w:hint="eastAsia"/>
        </w:rPr>
      </w:pPr>
    </w:p>
    <w:sectPr>
      <w:pgSz w:w="16838" w:h="11906" w:orient="landscape"/>
      <w:pgMar w:top="1588" w:right="2098" w:bottom="1474" w:left="1985"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Light">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0000000000000000000"/>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Helvetica">
    <w:altName w:val="Liberation Sans"/>
    <w:panose1 w:val="020B0604020202020204"/>
    <w:charset w:val="00"/>
    <w:family w:val="swiss"/>
    <w:pitch w:val="default"/>
    <w:sig w:usb0="00000000" w:usb1="00000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059">
    <w:panose1 w:val="00000000000000000000"/>
    <w:charset w:val="00"/>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等线 Light">
    <w:altName w:val="URW Bookman"/>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Liberation Sans">
    <w:panose1 w:val="020B0604020202020204"/>
    <w:charset w:val="00"/>
    <w:family w:val="auto"/>
    <w:pitch w:val="default"/>
    <w:sig w:usb0="A00002AF" w:usb1="500078FB" w:usb2="00000000" w:usb3="00000000" w:csb0="6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0DB"/>
    <w:rsid w:val="0001025D"/>
    <w:rsid w:val="00026EC3"/>
    <w:rsid w:val="000F4ED8"/>
    <w:rsid w:val="00110D99"/>
    <w:rsid w:val="00160437"/>
    <w:rsid w:val="003F116A"/>
    <w:rsid w:val="004000DB"/>
    <w:rsid w:val="00404E37"/>
    <w:rsid w:val="0046739D"/>
    <w:rsid w:val="005125ED"/>
    <w:rsid w:val="00513258"/>
    <w:rsid w:val="007162A3"/>
    <w:rsid w:val="00815C32"/>
    <w:rsid w:val="00BD7FAE"/>
    <w:rsid w:val="00C54394"/>
    <w:rsid w:val="00DB3140"/>
    <w:rsid w:val="00DC08B8"/>
    <w:rsid w:val="00DD4073"/>
    <w:rsid w:val="00DF2D13"/>
    <w:rsid w:val="00ED14A1"/>
    <w:rsid w:val="00EE48A4"/>
    <w:rsid w:val="00F16AE7"/>
    <w:rsid w:val="00F66F80"/>
    <w:rsid w:val="08ECEC6F"/>
    <w:rsid w:val="0FFF1949"/>
    <w:rsid w:val="1E5D6B07"/>
    <w:rsid w:val="2FFF724A"/>
    <w:rsid w:val="3BBA68EC"/>
    <w:rsid w:val="3F738BFE"/>
    <w:rsid w:val="3FF5643A"/>
    <w:rsid w:val="5E3B1DE3"/>
    <w:rsid w:val="6BFA3FE1"/>
    <w:rsid w:val="6FFFD612"/>
    <w:rsid w:val="71F516CB"/>
    <w:rsid w:val="779F8233"/>
    <w:rsid w:val="78FEF269"/>
    <w:rsid w:val="796A6B7E"/>
    <w:rsid w:val="79D1ACD9"/>
    <w:rsid w:val="7B2F437B"/>
    <w:rsid w:val="7BBDD787"/>
    <w:rsid w:val="7D6E0513"/>
    <w:rsid w:val="7DBFFA4E"/>
    <w:rsid w:val="7DF3D41E"/>
    <w:rsid w:val="7E5E5A50"/>
    <w:rsid w:val="7F7F8DD9"/>
    <w:rsid w:val="7FFB131F"/>
    <w:rsid w:val="9BFEF728"/>
    <w:rsid w:val="B47F7408"/>
    <w:rsid w:val="BB8F179F"/>
    <w:rsid w:val="BBFA5F61"/>
    <w:rsid w:val="BFEE0676"/>
    <w:rsid w:val="BFF138B8"/>
    <w:rsid w:val="BFF73C33"/>
    <w:rsid w:val="DAFE9027"/>
    <w:rsid w:val="DD55D67F"/>
    <w:rsid w:val="E87F809D"/>
    <w:rsid w:val="EDDF5A1A"/>
    <w:rsid w:val="EEBB8EEE"/>
    <w:rsid w:val="F265A3F8"/>
    <w:rsid w:val="F72B13D4"/>
    <w:rsid w:val="F87BA0B2"/>
    <w:rsid w:val="FBFF2DE4"/>
    <w:rsid w:val="FEA7AF28"/>
    <w:rsid w:val="FFEF0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1502</Words>
  <Characters>1518</Characters>
  <Lines>138</Lines>
  <Paragraphs>104</Paragraphs>
  <TotalTime>0</TotalTime>
  <ScaleCrop>false</ScaleCrop>
  <LinksUpToDate>false</LinksUpToDate>
  <CharactersWithSpaces>2916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2026-06-18T02:02:00Z</dcterms:created>
  <dc:creator>jing liu</dc:creator>
  <cp:lastModifiedBy>user</cp:lastModifiedBy>
  <cp:lastPrinted>2026-07-27T10:45:00Z</cp:lastPrinted>
  <dcterms:modified xsi:type="dcterms:W3CDTF">2026-09-04T15:25:09Z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807CD445F77FA4F701E26F6AA14050CF</vt:lpwstr>
  </property>
</Properties>
</file>